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2C73" w14:textId="77777777" w:rsidR="0088782E" w:rsidRPr="00F066B3" w:rsidRDefault="0088782E" w:rsidP="00A323E3">
      <w:pPr>
        <w:autoSpaceDE/>
        <w:autoSpaceDN/>
        <w:adjustRightInd/>
        <w:spacing w:line="240" w:lineRule="auto"/>
        <w:rPr>
          <w:rFonts w:ascii="Equip" w:eastAsia="Times New Roman" w:hAnsi="Equip" w:cs="Times New Roman"/>
          <w:color w:val="auto"/>
          <w:sz w:val="28"/>
          <w:szCs w:val="28"/>
        </w:rPr>
      </w:pPr>
      <w:bookmarkStart w:id="0" w:name="_GoBack"/>
      <w:bookmarkEnd w:id="0"/>
      <w:r w:rsidRPr="00F066B3">
        <w:rPr>
          <w:rFonts w:ascii="Equip" w:eastAsia="Times New Roman" w:hAnsi="Equip" w:cs="Times New Roman"/>
          <w:color w:val="auto"/>
          <w:sz w:val="28"/>
          <w:szCs w:val="28"/>
        </w:rPr>
        <w:t>2017 Qualified Dividends</w:t>
      </w:r>
    </w:p>
    <w:p w14:paraId="285C1BEC" w14:textId="77777777" w:rsidR="0088782E" w:rsidRPr="00F066B3" w:rsidRDefault="0088782E" w:rsidP="00A323E3">
      <w:pPr>
        <w:autoSpaceDE/>
        <w:autoSpaceDN/>
        <w:adjustRightInd/>
        <w:spacing w:line="240" w:lineRule="auto"/>
        <w:rPr>
          <w:rFonts w:ascii="Equip" w:eastAsia="Times New Roman" w:hAnsi="Equip" w:cs="Times New Roman"/>
          <w:color w:val="auto"/>
          <w:sz w:val="28"/>
          <w:szCs w:val="28"/>
        </w:rPr>
      </w:pPr>
      <w:r w:rsidRPr="00F066B3">
        <w:rPr>
          <w:rFonts w:ascii="Equip" w:eastAsia="Times New Roman" w:hAnsi="Equip" w:cs="Times New Roman"/>
          <w:color w:val="auto"/>
          <w:sz w:val="28"/>
          <w:szCs w:val="28"/>
        </w:rPr>
        <w:t>Income and Corporate</w:t>
      </w:r>
    </w:p>
    <w:p w14:paraId="778A18A9" w14:textId="77777777" w:rsidR="0088782E" w:rsidRPr="00F066B3" w:rsidRDefault="0088782E" w:rsidP="00A323E3">
      <w:pPr>
        <w:autoSpaceDE/>
        <w:autoSpaceDN/>
        <w:adjustRightInd/>
        <w:spacing w:line="240" w:lineRule="auto"/>
        <w:rPr>
          <w:rFonts w:ascii="Equip" w:eastAsia="Times New Roman" w:hAnsi="Equip" w:cs="Times New Roman"/>
          <w:color w:val="auto"/>
          <w:sz w:val="28"/>
          <w:szCs w:val="28"/>
        </w:rPr>
      </w:pPr>
      <w:r w:rsidRPr="00F066B3">
        <w:rPr>
          <w:rFonts w:ascii="Equip" w:eastAsia="Times New Roman" w:hAnsi="Equip" w:cs="Times New Roman"/>
          <w:color w:val="auto"/>
          <w:sz w:val="28"/>
          <w:szCs w:val="28"/>
        </w:rPr>
        <w:t>Dividends-Received</w:t>
      </w:r>
    </w:p>
    <w:p w14:paraId="5D3C58B6" w14:textId="77777777" w:rsidR="0088782E" w:rsidRPr="00F066B3" w:rsidRDefault="0088782E" w:rsidP="00A323E3">
      <w:pPr>
        <w:autoSpaceDE/>
        <w:autoSpaceDN/>
        <w:adjustRightInd/>
        <w:spacing w:line="240" w:lineRule="auto"/>
        <w:rPr>
          <w:rFonts w:ascii="Equip" w:eastAsia="Times New Roman" w:hAnsi="Equip" w:cs="Times New Roman"/>
          <w:color w:val="auto"/>
          <w:sz w:val="28"/>
          <w:szCs w:val="28"/>
        </w:rPr>
      </w:pPr>
      <w:r w:rsidRPr="00F066B3">
        <w:rPr>
          <w:rFonts w:ascii="Equip" w:eastAsia="Times New Roman" w:hAnsi="Equip" w:cs="Times New Roman"/>
          <w:color w:val="auto"/>
          <w:sz w:val="28"/>
          <w:szCs w:val="28"/>
        </w:rPr>
        <w:t>Deduction</w:t>
      </w:r>
    </w:p>
    <w:p w14:paraId="57337E1D" w14:textId="77777777" w:rsidR="0088782E" w:rsidRDefault="0088782E" w:rsidP="00A323E3">
      <w:pPr>
        <w:autoSpaceDE/>
        <w:autoSpaceDN/>
        <w:adjustRightInd/>
        <w:spacing w:line="240" w:lineRule="auto"/>
        <w:rPr>
          <w:rFonts w:ascii="Times New Roman" w:eastAsia="Times New Roman" w:hAnsi="Times New Roman" w:cs="Times New Roman"/>
          <w:color w:val="auto"/>
          <w:sz w:val="22"/>
          <w:szCs w:val="22"/>
        </w:rPr>
      </w:pPr>
    </w:p>
    <w:p w14:paraId="6D7A069C" w14:textId="77777777" w:rsidR="0088782E" w:rsidRDefault="0088782E" w:rsidP="00A323E3">
      <w:pPr>
        <w:autoSpaceDE/>
        <w:autoSpaceDN/>
        <w:adjustRightInd/>
        <w:spacing w:line="240" w:lineRule="auto"/>
        <w:rPr>
          <w:rFonts w:ascii="Times New Roman" w:eastAsia="Times New Roman" w:hAnsi="Times New Roman" w:cs="Times New Roman"/>
          <w:color w:val="auto"/>
          <w:sz w:val="22"/>
          <w:szCs w:val="22"/>
        </w:rPr>
      </w:pPr>
    </w:p>
    <w:p w14:paraId="4F87C908" w14:textId="6F241B2D" w:rsidR="00A323E3" w:rsidRPr="00EA70F3" w:rsidRDefault="00A323E3" w:rsidP="00A323E3">
      <w:pPr>
        <w:autoSpaceDE/>
        <w:autoSpaceDN/>
        <w:adjustRightInd/>
        <w:spacing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January </w:t>
      </w:r>
      <w:r w:rsidR="0088782E">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9, 2018</w:t>
      </w:r>
    </w:p>
    <w:p w14:paraId="3903703D" w14:textId="77777777" w:rsidR="00CB4B54" w:rsidRPr="00EA70F3" w:rsidRDefault="00CB4B54" w:rsidP="00CB4B54">
      <w:pPr>
        <w:autoSpaceDE/>
        <w:autoSpaceDN/>
        <w:adjustRightInd/>
        <w:spacing w:line="240" w:lineRule="auto"/>
        <w:rPr>
          <w:rFonts w:ascii="Times New Roman" w:eastAsia="Times New Roman" w:hAnsi="Times New Roman" w:cs="Times New Roman"/>
          <w:color w:val="auto"/>
          <w:sz w:val="22"/>
          <w:szCs w:val="22"/>
        </w:rPr>
      </w:pPr>
    </w:p>
    <w:p w14:paraId="787171AA" w14:textId="77777777" w:rsidR="0088782E" w:rsidRPr="0088782E" w:rsidRDefault="0088782E" w:rsidP="00CB4B54">
      <w:pPr>
        <w:autoSpaceDE/>
        <w:autoSpaceDN/>
        <w:adjustRightInd/>
        <w:spacing w:line="240" w:lineRule="auto"/>
        <w:rPr>
          <w:rFonts w:ascii="Times New Roman" w:eastAsia="Times New Roman" w:hAnsi="Times New Roman" w:cs="Times New Roman"/>
          <w:b/>
          <w:color w:val="221E1F"/>
          <w:sz w:val="22"/>
          <w:szCs w:val="22"/>
        </w:rPr>
      </w:pPr>
      <w:r w:rsidRPr="0088782E">
        <w:rPr>
          <w:rFonts w:ascii="Times New Roman" w:eastAsia="Times New Roman" w:hAnsi="Times New Roman" w:cs="Times New Roman"/>
          <w:b/>
          <w:color w:val="221E1F"/>
          <w:sz w:val="22"/>
          <w:szCs w:val="22"/>
        </w:rPr>
        <w:t>Income &amp; Capital Gain Distributions</w:t>
      </w:r>
    </w:p>
    <w:p w14:paraId="12DEEAA6" w14:textId="33227102" w:rsidR="00CB4B54" w:rsidRDefault="00CB4B54" w:rsidP="00CB4B54">
      <w:pPr>
        <w:autoSpaceDE/>
        <w:autoSpaceDN/>
        <w:adjustRightInd/>
        <w:spacing w:line="240" w:lineRule="auto"/>
        <w:rPr>
          <w:rFonts w:ascii="Times New Roman" w:eastAsia="Times New Roman" w:hAnsi="Times New Roman" w:cs="Times New Roman"/>
          <w:color w:val="221E1F"/>
          <w:sz w:val="22"/>
          <w:szCs w:val="22"/>
        </w:rPr>
      </w:pPr>
      <w:r w:rsidRPr="00B622EB">
        <w:rPr>
          <w:rFonts w:ascii="Times New Roman" w:eastAsia="Times New Roman" w:hAnsi="Times New Roman" w:cs="Times New Roman"/>
          <w:color w:val="221E1F"/>
          <w:sz w:val="22"/>
          <w:szCs w:val="22"/>
        </w:rPr>
        <w:t xml:space="preserve">For the 2017 calendar year, 100% of the dividends paid by the fixed income funds is taxable as ordinary income for federal income tax purposes. Listed in this table are the annual percentages of ordinary income distributed (dividend income plus short-term gain) by the equity funds, as applicable, that can be treated as </w:t>
      </w:r>
      <w:r w:rsidRPr="00B622EB">
        <w:rPr>
          <w:rFonts w:ascii="Times New Roman" w:eastAsia="Times New Roman" w:hAnsi="Times New Roman" w:cs="Times New Roman"/>
          <w:b/>
          <w:color w:val="221E1F"/>
          <w:sz w:val="22"/>
          <w:szCs w:val="22"/>
        </w:rPr>
        <w:t>Qualified Dividend Income (QDI)</w:t>
      </w:r>
      <w:r w:rsidRPr="00B622EB">
        <w:rPr>
          <w:rFonts w:ascii="Times New Roman" w:eastAsia="Times New Roman" w:hAnsi="Times New Roman" w:cs="Times New Roman"/>
          <w:color w:val="221E1F"/>
          <w:sz w:val="22"/>
          <w:szCs w:val="22"/>
        </w:rPr>
        <w:t xml:space="preserve">. </w:t>
      </w:r>
    </w:p>
    <w:p w14:paraId="1E1398D3" w14:textId="77777777" w:rsidR="0088782E" w:rsidRDefault="0088782E" w:rsidP="00CB4B54">
      <w:pPr>
        <w:autoSpaceDE/>
        <w:autoSpaceDN/>
        <w:adjustRightInd/>
        <w:spacing w:line="240" w:lineRule="auto"/>
        <w:rPr>
          <w:rFonts w:ascii="Times New Roman" w:eastAsia="Times New Roman" w:hAnsi="Times New Roman" w:cs="Times New Roman"/>
          <w:color w:val="221E1F"/>
          <w:sz w:val="22"/>
          <w:szCs w:val="22"/>
        </w:rPr>
      </w:pPr>
    </w:p>
    <w:p w14:paraId="0FB4AED4" w14:textId="662C6235" w:rsidR="0088782E" w:rsidRPr="0088782E" w:rsidRDefault="0088782E" w:rsidP="0088782E">
      <w:pPr>
        <w:autoSpaceDE/>
        <w:autoSpaceDN/>
        <w:adjustRightInd/>
        <w:spacing w:line="240" w:lineRule="auto"/>
        <w:rPr>
          <w:rFonts w:ascii="Times New Roman" w:eastAsia="Times New Roman" w:hAnsi="Times New Roman" w:cs="Times New Roman"/>
          <w:b/>
          <w:color w:val="221E1F"/>
          <w:sz w:val="22"/>
          <w:szCs w:val="22"/>
        </w:rPr>
      </w:pPr>
      <w:r>
        <w:rPr>
          <w:rFonts w:ascii="Times New Roman" w:eastAsia="Times New Roman" w:hAnsi="Times New Roman" w:cs="Times New Roman"/>
          <w:b/>
          <w:color w:val="221E1F"/>
          <w:sz w:val="22"/>
          <w:szCs w:val="22"/>
        </w:rPr>
        <w:t>Percentage of Dividends Eligible for the Corporate Dividends-Received Deduction</w:t>
      </w:r>
    </w:p>
    <w:p w14:paraId="70DAA9E5" w14:textId="27F46C43" w:rsidR="0088782E" w:rsidRPr="00B622EB" w:rsidRDefault="0088782E" w:rsidP="0088782E">
      <w:pPr>
        <w:autoSpaceDE/>
        <w:autoSpaceDN/>
        <w:adjustRightInd/>
        <w:spacing w:line="240" w:lineRule="auto"/>
        <w:rPr>
          <w:rFonts w:ascii="Times New Roman" w:eastAsia="Times New Roman" w:hAnsi="Times New Roman" w:cs="Times New Roman"/>
          <w:color w:val="221E1F"/>
          <w:sz w:val="22"/>
          <w:szCs w:val="22"/>
        </w:rPr>
      </w:pPr>
      <w:r>
        <w:rPr>
          <w:rFonts w:ascii="Times New Roman" w:eastAsia="Times New Roman" w:hAnsi="Times New Roman" w:cs="Times New Roman"/>
          <w:color w:val="221E1F"/>
          <w:sz w:val="22"/>
          <w:szCs w:val="22"/>
        </w:rPr>
        <w:t xml:space="preserve">Mutual fund dividends derived from certain domestic corporations may be eligible for the dividends received deduction (DRD) for corporations. A portion of the ordinary income distribution (dividend income plus short-term gain) paid in 2017 by the Funds listed below may qualify for this deduction. </w:t>
      </w:r>
      <w:r w:rsidR="006D55E3">
        <w:rPr>
          <w:rFonts w:ascii="Times New Roman" w:eastAsia="Times New Roman" w:hAnsi="Times New Roman" w:cs="Times New Roman"/>
          <w:color w:val="221E1F"/>
          <w:sz w:val="22"/>
          <w:szCs w:val="22"/>
        </w:rPr>
        <w:br/>
      </w:r>
      <w:r>
        <w:rPr>
          <w:rFonts w:ascii="Times New Roman" w:eastAsia="Times New Roman" w:hAnsi="Times New Roman" w:cs="Times New Roman"/>
          <w:color w:val="221E1F"/>
          <w:sz w:val="22"/>
          <w:szCs w:val="22"/>
        </w:rPr>
        <w:t xml:space="preserve">The table below shows the portion of monthly, quarterly or annualized, as applicable, of ordinary income distribution (dividend income plus short-term gain) attributable to such domestic corporations for each </w:t>
      </w:r>
      <w:r w:rsidR="006D55E3">
        <w:rPr>
          <w:rFonts w:ascii="Times New Roman" w:eastAsia="Times New Roman" w:hAnsi="Times New Roman" w:cs="Times New Roman"/>
          <w:color w:val="221E1F"/>
          <w:sz w:val="22"/>
          <w:szCs w:val="22"/>
        </w:rPr>
        <w:br/>
      </w:r>
      <w:r>
        <w:rPr>
          <w:rFonts w:ascii="Times New Roman" w:eastAsia="Times New Roman" w:hAnsi="Times New Roman" w:cs="Times New Roman"/>
          <w:color w:val="221E1F"/>
          <w:sz w:val="22"/>
          <w:szCs w:val="22"/>
        </w:rPr>
        <w:t>of the Funds for 2017.</w:t>
      </w:r>
    </w:p>
    <w:p w14:paraId="0CDCA764" w14:textId="77777777" w:rsidR="00CB4B54" w:rsidRPr="00EC5E34" w:rsidRDefault="00CB4B54" w:rsidP="00CB4B54">
      <w:pPr>
        <w:autoSpaceDE/>
        <w:autoSpaceDN/>
        <w:adjustRightInd/>
        <w:spacing w:line="240" w:lineRule="auto"/>
        <w:rPr>
          <w:rFonts w:ascii="Times New Roman" w:eastAsia="Times New Roman" w:hAnsi="Times New Roman" w:cs="Times New Roman"/>
          <w:color w:val="auto"/>
          <w:sz w:val="22"/>
          <w:szCs w:val="22"/>
        </w:rPr>
      </w:pPr>
    </w:p>
    <w:tbl>
      <w:tblPr>
        <w:tblW w:w="9375" w:type="dxa"/>
        <w:tblInd w:w="93" w:type="dxa"/>
        <w:tblLayout w:type="fixed"/>
        <w:tblLook w:val="04A0" w:firstRow="1" w:lastRow="0" w:firstColumn="1" w:lastColumn="0" w:noHBand="0" w:noVBand="1"/>
      </w:tblPr>
      <w:tblGrid>
        <w:gridCol w:w="4965"/>
        <w:gridCol w:w="2250"/>
        <w:gridCol w:w="1080"/>
        <w:gridCol w:w="1080"/>
      </w:tblGrid>
      <w:tr w:rsidR="00CB4B54" w:rsidRPr="003A220B" w14:paraId="4F60EA2D" w14:textId="77777777" w:rsidTr="007633FA">
        <w:trPr>
          <w:trHeight w:val="285"/>
        </w:trPr>
        <w:tc>
          <w:tcPr>
            <w:tcW w:w="496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80E6CF1" w14:textId="77777777" w:rsidR="00CB4B54" w:rsidRPr="003A220B" w:rsidRDefault="00CB4B54" w:rsidP="007633FA">
            <w:pPr>
              <w:autoSpaceDE/>
              <w:autoSpaceDN/>
              <w:adjustRightInd/>
              <w:spacing w:line="240" w:lineRule="auto"/>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 xml:space="preserve"> </w:t>
            </w:r>
            <w:r w:rsidRPr="003A220B">
              <w:rPr>
                <w:rFonts w:ascii="Times New Roman" w:eastAsia="Times New Roman" w:hAnsi="Times New Roman" w:cs="Times New Roman"/>
                <w:b/>
                <w:bCs/>
                <w:color w:val="auto"/>
                <w:sz w:val="22"/>
                <w:szCs w:val="22"/>
              </w:rPr>
              <w:t>Northern Funds</w:t>
            </w:r>
          </w:p>
        </w:tc>
        <w:tc>
          <w:tcPr>
            <w:tcW w:w="2250" w:type="dxa"/>
            <w:tcBorders>
              <w:top w:val="single" w:sz="8" w:space="0" w:color="auto"/>
              <w:left w:val="nil"/>
              <w:bottom w:val="single" w:sz="4" w:space="0" w:color="auto"/>
              <w:right w:val="single" w:sz="8" w:space="0" w:color="auto"/>
            </w:tcBorders>
            <w:shd w:val="clear" w:color="auto" w:fill="auto"/>
            <w:vAlign w:val="bottom"/>
            <w:hideMark/>
          </w:tcPr>
          <w:p w14:paraId="2C760336" w14:textId="77777777" w:rsidR="00CB4B54" w:rsidRPr="003A220B" w:rsidRDefault="00CB4B54" w:rsidP="007633FA">
            <w:pPr>
              <w:autoSpaceDE/>
              <w:autoSpaceDN/>
              <w:adjustRightInd/>
              <w:spacing w:line="240" w:lineRule="auto"/>
              <w:rPr>
                <w:rFonts w:ascii="Times New Roman" w:eastAsia="Times New Roman" w:hAnsi="Times New Roman" w:cs="Times New Roman"/>
                <w:b/>
                <w:bCs/>
                <w:color w:val="auto"/>
                <w:sz w:val="22"/>
                <w:szCs w:val="22"/>
              </w:rPr>
            </w:pPr>
            <w:r w:rsidRPr="003A220B">
              <w:rPr>
                <w:rFonts w:ascii="Times New Roman" w:eastAsia="Times New Roman" w:hAnsi="Times New Roman" w:cs="Times New Roman"/>
                <w:b/>
                <w:bCs/>
                <w:color w:val="auto"/>
                <w:sz w:val="22"/>
                <w:szCs w:val="22"/>
              </w:rPr>
              <w:t>Payment Frequency</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46660828" w14:textId="77777777" w:rsidR="00CB4B54" w:rsidRPr="003A220B" w:rsidRDefault="00CB4B54" w:rsidP="007633FA">
            <w:pPr>
              <w:autoSpaceDE/>
              <w:autoSpaceDN/>
              <w:adjustRightInd/>
              <w:spacing w:line="240" w:lineRule="auto"/>
              <w:jc w:val="right"/>
              <w:rPr>
                <w:rFonts w:ascii="Times New Roman" w:eastAsia="Times New Roman" w:hAnsi="Times New Roman" w:cs="Times New Roman"/>
                <w:b/>
                <w:bCs/>
                <w:color w:val="auto"/>
                <w:sz w:val="22"/>
                <w:szCs w:val="22"/>
              </w:rPr>
            </w:pPr>
            <w:r w:rsidRPr="003A220B">
              <w:rPr>
                <w:rFonts w:ascii="Times New Roman" w:eastAsia="Times New Roman" w:hAnsi="Times New Roman" w:cs="Times New Roman"/>
                <w:b/>
                <w:bCs/>
                <w:color w:val="auto"/>
                <w:sz w:val="22"/>
                <w:szCs w:val="22"/>
              </w:rPr>
              <w:t>DRD%</w:t>
            </w:r>
          </w:p>
        </w:tc>
        <w:tc>
          <w:tcPr>
            <w:tcW w:w="1080" w:type="dxa"/>
            <w:tcBorders>
              <w:top w:val="single" w:sz="8" w:space="0" w:color="auto"/>
              <w:left w:val="nil"/>
              <w:bottom w:val="single" w:sz="4" w:space="0" w:color="auto"/>
              <w:right w:val="single" w:sz="8" w:space="0" w:color="auto"/>
            </w:tcBorders>
          </w:tcPr>
          <w:p w14:paraId="5353C2B1" w14:textId="77777777" w:rsidR="00CB4B54" w:rsidRPr="003A220B" w:rsidRDefault="00CB4B54" w:rsidP="007633FA">
            <w:pPr>
              <w:autoSpaceDE/>
              <w:autoSpaceDN/>
              <w:adjustRightInd/>
              <w:spacing w:line="240" w:lineRule="auto"/>
              <w:jc w:val="right"/>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QDI%</w:t>
            </w:r>
          </w:p>
        </w:tc>
      </w:tr>
      <w:tr w:rsidR="00CB4B54" w:rsidRPr="003A220B" w14:paraId="682C464F"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54048D13" w14:textId="77777777" w:rsidR="00CB4B54" w:rsidRDefault="00CB4B54" w:rsidP="007633FA">
            <w:pPr>
              <w:autoSpaceDE/>
              <w:autoSpaceDN/>
              <w:adjustRightInd/>
              <w:spacing w:line="240" w:lineRule="auto"/>
              <w:rPr>
                <w:rFonts w:ascii="Arial" w:eastAsia="Times New Roman" w:hAnsi="Arial" w:cs="Arial"/>
                <w:color w:val="auto"/>
                <w:sz w:val="20"/>
                <w:szCs w:val="20"/>
              </w:rPr>
            </w:pPr>
            <w:r>
              <w:rPr>
                <w:rFonts w:ascii="Arial" w:eastAsia="Times New Roman" w:hAnsi="Arial" w:cs="Arial"/>
                <w:sz w:val="20"/>
                <w:szCs w:val="20"/>
              </w:rPr>
              <w:t xml:space="preserve"> Active M Emerging Markets Equity Fund</w:t>
            </w:r>
          </w:p>
        </w:tc>
        <w:tc>
          <w:tcPr>
            <w:tcW w:w="2250" w:type="dxa"/>
            <w:tcBorders>
              <w:top w:val="nil"/>
              <w:left w:val="nil"/>
              <w:bottom w:val="single" w:sz="4" w:space="0" w:color="auto"/>
              <w:right w:val="single" w:sz="4" w:space="0" w:color="auto"/>
            </w:tcBorders>
            <w:shd w:val="clear" w:color="auto" w:fill="auto"/>
            <w:noWrap/>
            <w:vAlign w:val="bottom"/>
            <w:hideMark/>
          </w:tcPr>
          <w:p w14:paraId="4DA4EBBE"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AF4A9B2"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0.00%</w:t>
            </w:r>
          </w:p>
        </w:tc>
        <w:tc>
          <w:tcPr>
            <w:tcW w:w="1080" w:type="dxa"/>
            <w:tcBorders>
              <w:top w:val="nil"/>
              <w:left w:val="single" w:sz="4" w:space="0" w:color="7F7F7F"/>
              <w:bottom w:val="single" w:sz="4" w:space="0" w:color="7F7F7F"/>
              <w:right w:val="single" w:sz="8" w:space="0" w:color="auto"/>
            </w:tcBorders>
            <w:vAlign w:val="bottom"/>
          </w:tcPr>
          <w:p w14:paraId="271EEB0E" w14:textId="77777777" w:rsidR="00CB4B54" w:rsidRDefault="00CB4B54" w:rsidP="007633FA">
            <w:pPr>
              <w:autoSpaceDE/>
              <w:autoSpaceDN/>
              <w:adjustRightInd/>
              <w:spacing w:line="240" w:lineRule="auto"/>
              <w:jc w:val="right"/>
              <w:rPr>
                <w:rFonts w:ascii="Calibri" w:eastAsia="Times New Roman" w:hAnsi="Calibri" w:cs="Arial"/>
                <w:color w:val="auto"/>
                <w:sz w:val="22"/>
                <w:szCs w:val="22"/>
              </w:rPr>
            </w:pPr>
            <w:r>
              <w:rPr>
                <w:rFonts w:ascii="Calibri" w:eastAsia="Times New Roman" w:hAnsi="Calibri" w:cs="Arial"/>
                <w:sz w:val="22"/>
                <w:szCs w:val="22"/>
              </w:rPr>
              <w:t>0.00%</w:t>
            </w:r>
          </w:p>
        </w:tc>
      </w:tr>
      <w:tr w:rsidR="00CB4B54" w:rsidRPr="003A220B" w14:paraId="60B956EA"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059236D2"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Active M International Equity Fund</w:t>
            </w:r>
          </w:p>
        </w:tc>
        <w:tc>
          <w:tcPr>
            <w:tcW w:w="2250" w:type="dxa"/>
            <w:tcBorders>
              <w:top w:val="nil"/>
              <w:left w:val="nil"/>
              <w:bottom w:val="single" w:sz="4" w:space="0" w:color="auto"/>
              <w:right w:val="single" w:sz="4" w:space="0" w:color="auto"/>
            </w:tcBorders>
            <w:shd w:val="clear" w:color="auto" w:fill="auto"/>
            <w:noWrap/>
            <w:vAlign w:val="bottom"/>
            <w:hideMark/>
          </w:tcPr>
          <w:p w14:paraId="554DBBE7"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222E6DC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0.00%</w:t>
            </w:r>
          </w:p>
        </w:tc>
        <w:tc>
          <w:tcPr>
            <w:tcW w:w="1080" w:type="dxa"/>
            <w:tcBorders>
              <w:top w:val="nil"/>
              <w:left w:val="single" w:sz="4" w:space="0" w:color="7F7F7F"/>
              <w:bottom w:val="single" w:sz="4" w:space="0" w:color="7F7F7F"/>
              <w:right w:val="single" w:sz="8" w:space="0" w:color="auto"/>
            </w:tcBorders>
            <w:vAlign w:val="bottom"/>
          </w:tcPr>
          <w:p w14:paraId="6A3725F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7C35F817"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41484073"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Active M U.S. Equity Fund Q1</w:t>
            </w:r>
          </w:p>
        </w:tc>
        <w:tc>
          <w:tcPr>
            <w:tcW w:w="2250" w:type="dxa"/>
            <w:tcBorders>
              <w:top w:val="nil"/>
              <w:left w:val="nil"/>
              <w:bottom w:val="single" w:sz="4" w:space="0" w:color="auto"/>
              <w:right w:val="single" w:sz="4" w:space="0" w:color="auto"/>
            </w:tcBorders>
            <w:shd w:val="clear" w:color="auto" w:fill="auto"/>
            <w:noWrap/>
            <w:vAlign w:val="bottom"/>
            <w:hideMark/>
          </w:tcPr>
          <w:p w14:paraId="0BDD55C5"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5301FD0"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62413FB5"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3E6F0898"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3D7B756E"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Active M U.S. Equity Fund Q2</w:t>
            </w:r>
          </w:p>
        </w:tc>
        <w:tc>
          <w:tcPr>
            <w:tcW w:w="2250" w:type="dxa"/>
            <w:tcBorders>
              <w:top w:val="nil"/>
              <w:left w:val="nil"/>
              <w:bottom w:val="single" w:sz="4" w:space="0" w:color="auto"/>
              <w:right w:val="single" w:sz="4" w:space="0" w:color="auto"/>
            </w:tcBorders>
            <w:shd w:val="clear" w:color="auto" w:fill="auto"/>
            <w:noWrap/>
            <w:vAlign w:val="bottom"/>
            <w:hideMark/>
          </w:tcPr>
          <w:p w14:paraId="4454C62A"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034324DC"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41E9B91B"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4F3AD283"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44A97A26"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Active M U.S. Equity Fund Q3</w:t>
            </w:r>
          </w:p>
        </w:tc>
        <w:tc>
          <w:tcPr>
            <w:tcW w:w="2250" w:type="dxa"/>
            <w:tcBorders>
              <w:top w:val="nil"/>
              <w:left w:val="nil"/>
              <w:bottom w:val="single" w:sz="4" w:space="0" w:color="auto"/>
              <w:right w:val="single" w:sz="4" w:space="0" w:color="auto"/>
            </w:tcBorders>
            <w:shd w:val="clear" w:color="auto" w:fill="auto"/>
            <w:noWrap/>
            <w:vAlign w:val="bottom"/>
            <w:hideMark/>
          </w:tcPr>
          <w:p w14:paraId="34BFCFDC"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3D95EC69"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3B9B488B"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04503666"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1EAAD983"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Active M U.S. Equity Fund Q4</w:t>
            </w:r>
          </w:p>
        </w:tc>
        <w:tc>
          <w:tcPr>
            <w:tcW w:w="2250" w:type="dxa"/>
            <w:tcBorders>
              <w:top w:val="nil"/>
              <w:left w:val="nil"/>
              <w:bottom w:val="single" w:sz="4" w:space="0" w:color="auto"/>
              <w:right w:val="single" w:sz="4" w:space="0" w:color="auto"/>
            </w:tcBorders>
            <w:shd w:val="clear" w:color="auto" w:fill="auto"/>
            <w:noWrap/>
            <w:vAlign w:val="bottom"/>
            <w:hideMark/>
          </w:tcPr>
          <w:p w14:paraId="1B673BFA"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6274A0F0"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2F4EFD17"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230E1AE0" w14:textId="77777777" w:rsidTr="007633FA">
        <w:trPr>
          <w:trHeight w:val="233"/>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14438EC5"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Emerging Markets Equity Index Fund </w:t>
            </w:r>
          </w:p>
        </w:tc>
        <w:tc>
          <w:tcPr>
            <w:tcW w:w="2250" w:type="dxa"/>
            <w:tcBorders>
              <w:top w:val="nil"/>
              <w:left w:val="nil"/>
              <w:bottom w:val="single" w:sz="4" w:space="0" w:color="auto"/>
              <w:right w:val="single" w:sz="4" w:space="0" w:color="auto"/>
            </w:tcBorders>
            <w:shd w:val="clear" w:color="auto" w:fill="auto"/>
            <w:noWrap/>
            <w:vAlign w:val="bottom"/>
            <w:hideMark/>
          </w:tcPr>
          <w:p w14:paraId="7EC8D961"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7A4858D1"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0.10%</w:t>
            </w:r>
          </w:p>
        </w:tc>
        <w:tc>
          <w:tcPr>
            <w:tcW w:w="1080" w:type="dxa"/>
            <w:tcBorders>
              <w:top w:val="nil"/>
              <w:left w:val="single" w:sz="4" w:space="0" w:color="7F7F7F"/>
              <w:bottom w:val="single" w:sz="4" w:space="0" w:color="7F7F7F"/>
              <w:right w:val="single" w:sz="8" w:space="0" w:color="auto"/>
            </w:tcBorders>
            <w:vAlign w:val="bottom"/>
          </w:tcPr>
          <w:p w14:paraId="4484506C" w14:textId="77777777" w:rsidR="00CB4B54" w:rsidRPr="00A323E3" w:rsidRDefault="00CB4B54" w:rsidP="007633FA">
            <w:pPr>
              <w:jc w:val="right"/>
              <w:rPr>
                <w:rFonts w:ascii="Calibri" w:eastAsia="Times New Roman" w:hAnsi="Calibri" w:cs="Arial"/>
                <w:color w:val="000000" w:themeColor="text1"/>
                <w:sz w:val="22"/>
                <w:szCs w:val="22"/>
              </w:rPr>
            </w:pPr>
            <w:r w:rsidRPr="00A323E3">
              <w:rPr>
                <w:rFonts w:ascii="Calibri" w:eastAsia="Times New Roman" w:hAnsi="Calibri" w:cs="Arial"/>
                <w:color w:val="000000" w:themeColor="text1"/>
                <w:sz w:val="22"/>
                <w:szCs w:val="22"/>
              </w:rPr>
              <w:t>71.00%</w:t>
            </w:r>
          </w:p>
        </w:tc>
      </w:tr>
      <w:tr w:rsidR="00CB4B54" w:rsidRPr="003A220B" w14:paraId="4199CF3D"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6F29BC78"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Global Sustainability Index Fund </w:t>
            </w:r>
          </w:p>
        </w:tc>
        <w:tc>
          <w:tcPr>
            <w:tcW w:w="2250" w:type="dxa"/>
            <w:tcBorders>
              <w:top w:val="nil"/>
              <w:left w:val="nil"/>
              <w:bottom w:val="single" w:sz="4" w:space="0" w:color="auto"/>
              <w:right w:val="single" w:sz="4" w:space="0" w:color="auto"/>
            </w:tcBorders>
            <w:shd w:val="clear" w:color="auto" w:fill="auto"/>
            <w:noWrap/>
            <w:vAlign w:val="bottom"/>
            <w:hideMark/>
          </w:tcPr>
          <w:p w14:paraId="2F30312B"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66DB15E9"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38.08%</w:t>
            </w:r>
          </w:p>
        </w:tc>
        <w:tc>
          <w:tcPr>
            <w:tcW w:w="1080" w:type="dxa"/>
            <w:tcBorders>
              <w:top w:val="nil"/>
              <w:left w:val="single" w:sz="4" w:space="0" w:color="7F7F7F"/>
              <w:bottom w:val="single" w:sz="4" w:space="0" w:color="7F7F7F"/>
              <w:right w:val="single" w:sz="8" w:space="0" w:color="auto"/>
            </w:tcBorders>
            <w:vAlign w:val="bottom"/>
          </w:tcPr>
          <w:p w14:paraId="7DE47CEF" w14:textId="77777777" w:rsidR="00CB4B54" w:rsidRDefault="00CB4B54" w:rsidP="007633FA">
            <w:pPr>
              <w:jc w:val="right"/>
              <w:rPr>
                <w:rFonts w:ascii="Calibri" w:eastAsia="Times New Roman" w:hAnsi="Calibri" w:cs="Arial"/>
                <w:color w:val="auto"/>
                <w:sz w:val="22"/>
                <w:szCs w:val="22"/>
              </w:rPr>
            </w:pPr>
            <w:r>
              <w:rPr>
                <w:rFonts w:ascii="Calibri" w:eastAsia="Times New Roman" w:hAnsi="Calibri" w:cs="Arial"/>
                <w:sz w:val="22"/>
                <w:szCs w:val="22"/>
              </w:rPr>
              <w:t>100.00%</w:t>
            </w:r>
          </w:p>
        </w:tc>
      </w:tr>
      <w:tr w:rsidR="00CB4B54" w:rsidRPr="003A220B" w14:paraId="16017912"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44B03F16"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Global Tactical Asset Allocation Fund Q1 </w:t>
            </w:r>
          </w:p>
        </w:tc>
        <w:tc>
          <w:tcPr>
            <w:tcW w:w="2250" w:type="dxa"/>
            <w:tcBorders>
              <w:top w:val="nil"/>
              <w:left w:val="nil"/>
              <w:bottom w:val="single" w:sz="4" w:space="0" w:color="auto"/>
              <w:right w:val="single" w:sz="4" w:space="0" w:color="auto"/>
            </w:tcBorders>
            <w:shd w:val="clear" w:color="auto" w:fill="auto"/>
            <w:noWrap/>
            <w:vAlign w:val="bottom"/>
            <w:hideMark/>
          </w:tcPr>
          <w:p w14:paraId="3871065C"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630DC951"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14.18%</w:t>
            </w:r>
          </w:p>
        </w:tc>
        <w:tc>
          <w:tcPr>
            <w:tcW w:w="1080" w:type="dxa"/>
            <w:tcBorders>
              <w:top w:val="nil"/>
              <w:left w:val="single" w:sz="4" w:space="0" w:color="7F7F7F"/>
              <w:bottom w:val="single" w:sz="4" w:space="0" w:color="7F7F7F"/>
              <w:right w:val="single" w:sz="8" w:space="0" w:color="auto"/>
            </w:tcBorders>
            <w:vAlign w:val="bottom"/>
          </w:tcPr>
          <w:p w14:paraId="22F116B9"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05A86B22"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518E746A"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Global Tactical Asset Allocation Fund Q2 </w:t>
            </w:r>
          </w:p>
        </w:tc>
        <w:tc>
          <w:tcPr>
            <w:tcW w:w="2250" w:type="dxa"/>
            <w:tcBorders>
              <w:top w:val="nil"/>
              <w:left w:val="nil"/>
              <w:bottom w:val="single" w:sz="4" w:space="0" w:color="auto"/>
              <w:right w:val="single" w:sz="4" w:space="0" w:color="auto"/>
            </w:tcBorders>
            <w:shd w:val="clear" w:color="auto" w:fill="auto"/>
            <w:noWrap/>
            <w:vAlign w:val="bottom"/>
            <w:hideMark/>
          </w:tcPr>
          <w:p w14:paraId="6114EE48"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7B062FF2"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1.77%</w:t>
            </w:r>
          </w:p>
        </w:tc>
        <w:tc>
          <w:tcPr>
            <w:tcW w:w="1080" w:type="dxa"/>
            <w:tcBorders>
              <w:top w:val="nil"/>
              <w:left w:val="single" w:sz="4" w:space="0" w:color="7F7F7F"/>
              <w:bottom w:val="single" w:sz="4" w:space="0" w:color="7F7F7F"/>
              <w:right w:val="single" w:sz="8" w:space="0" w:color="auto"/>
            </w:tcBorders>
            <w:vAlign w:val="bottom"/>
          </w:tcPr>
          <w:p w14:paraId="376A576B"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6.48%</w:t>
            </w:r>
          </w:p>
        </w:tc>
      </w:tr>
      <w:tr w:rsidR="00CB4B54" w:rsidRPr="003A220B" w14:paraId="5B4D2DB3"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2922A0DD"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Global Tactical Asset Allocation Fund Q3 </w:t>
            </w:r>
          </w:p>
        </w:tc>
        <w:tc>
          <w:tcPr>
            <w:tcW w:w="2250" w:type="dxa"/>
            <w:tcBorders>
              <w:top w:val="nil"/>
              <w:left w:val="nil"/>
              <w:bottom w:val="single" w:sz="4" w:space="0" w:color="auto"/>
              <w:right w:val="single" w:sz="4" w:space="0" w:color="auto"/>
            </w:tcBorders>
            <w:shd w:val="clear" w:color="auto" w:fill="auto"/>
            <w:noWrap/>
            <w:vAlign w:val="bottom"/>
            <w:hideMark/>
          </w:tcPr>
          <w:p w14:paraId="308209E4"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07C22DDF"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4.05%</w:t>
            </w:r>
          </w:p>
        </w:tc>
        <w:tc>
          <w:tcPr>
            <w:tcW w:w="1080" w:type="dxa"/>
            <w:tcBorders>
              <w:top w:val="nil"/>
              <w:left w:val="single" w:sz="4" w:space="0" w:color="7F7F7F"/>
              <w:bottom w:val="single" w:sz="4" w:space="0" w:color="7F7F7F"/>
              <w:right w:val="single" w:sz="8" w:space="0" w:color="auto"/>
            </w:tcBorders>
            <w:vAlign w:val="bottom"/>
          </w:tcPr>
          <w:p w14:paraId="3F6686C6"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60.08%</w:t>
            </w:r>
          </w:p>
        </w:tc>
      </w:tr>
      <w:tr w:rsidR="00CB4B54" w:rsidRPr="003A220B" w14:paraId="626462F6"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3ADF08B7"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Global Tactical Asset Allocation Fund Q4 </w:t>
            </w:r>
          </w:p>
        </w:tc>
        <w:tc>
          <w:tcPr>
            <w:tcW w:w="2250" w:type="dxa"/>
            <w:tcBorders>
              <w:top w:val="nil"/>
              <w:left w:val="nil"/>
              <w:bottom w:val="single" w:sz="4" w:space="0" w:color="auto"/>
              <w:right w:val="single" w:sz="4" w:space="0" w:color="auto"/>
            </w:tcBorders>
            <w:shd w:val="clear" w:color="auto" w:fill="auto"/>
            <w:noWrap/>
            <w:vAlign w:val="bottom"/>
            <w:hideMark/>
          </w:tcPr>
          <w:p w14:paraId="195E2269"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B5AC606"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14.15%</w:t>
            </w:r>
          </w:p>
        </w:tc>
        <w:tc>
          <w:tcPr>
            <w:tcW w:w="1080" w:type="dxa"/>
            <w:tcBorders>
              <w:top w:val="nil"/>
              <w:left w:val="single" w:sz="4" w:space="0" w:color="7F7F7F"/>
              <w:bottom w:val="single" w:sz="4" w:space="0" w:color="7F7F7F"/>
              <w:right w:val="single" w:sz="8" w:space="0" w:color="auto"/>
            </w:tcBorders>
            <w:vAlign w:val="bottom"/>
          </w:tcPr>
          <w:p w14:paraId="746BB0A3"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57.51%</w:t>
            </w:r>
          </w:p>
        </w:tc>
      </w:tr>
      <w:tr w:rsidR="00CB4B54" w:rsidRPr="003A220B" w14:paraId="46CB3382"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40355A0C"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January</w:t>
            </w:r>
          </w:p>
        </w:tc>
        <w:tc>
          <w:tcPr>
            <w:tcW w:w="2250" w:type="dxa"/>
            <w:tcBorders>
              <w:top w:val="nil"/>
              <w:left w:val="nil"/>
              <w:bottom w:val="single" w:sz="4" w:space="0" w:color="auto"/>
              <w:right w:val="single" w:sz="4" w:space="0" w:color="auto"/>
            </w:tcBorders>
            <w:shd w:val="clear" w:color="auto" w:fill="auto"/>
            <w:noWrap/>
            <w:vAlign w:val="bottom"/>
            <w:hideMark/>
          </w:tcPr>
          <w:p w14:paraId="59CC60AA"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0A53F97"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2E853190"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57FEFD6A"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7C83E607"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February</w:t>
            </w:r>
          </w:p>
        </w:tc>
        <w:tc>
          <w:tcPr>
            <w:tcW w:w="2250" w:type="dxa"/>
            <w:tcBorders>
              <w:top w:val="nil"/>
              <w:left w:val="nil"/>
              <w:bottom w:val="single" w:sz="4" w:space="0" w:color="auto"/>
              <w:right w:val="single" w:sz="4" w:space="0" w:color="auto"/>
            </w:tcBorders>
            <w:shd w:val="clear" w:color="auto" w:fill="auto"/>
            <w:noWrap/>
            <w:vAlign w:val="bottom"/>
            <w:hideMark/>
          </w:tcPr>
          <w:p w14:paraId="6B1C98A5"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318E6C1"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2D595AD9"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76FB8948"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6C4CA964"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March</w:t>
            </w:r>
          </w:p>
        </w:tc>
        <w:tc>
          <w:tcPr>
            <w:tcW w:w="2250" w:type="dxa"/>
            <w:tcBorders>
              <w:top w:val="nil"/>
              <w:left w:val="nil"/>
              <w:bottom w:val="single" w:sz="4" w:space="0" w:color="auto"/>
              <w:right w:val="single" w:sz="4" w:space="0" w:color="auto"/>
            </w:tcBorders>
            <w:shd w:val="clear" w:color="auto" w:fill="auto"/>
            <w:noWrap/>
            <w:vAlign w:val="bottom"/>
            <w:hideMark/>
          </w:tcPr>
          <w:p w14:paraId="540B5205"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51566AD9"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7B4DE949"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1A953261"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2ACE816C"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April</w:t>
            </w:r>
          </w:p>
        </w:tc>
        <w:tc>
          <w:tcPr>
            <w:tcW w:w="2250" w:type="dxa"/>
            <w:tcBorders>
              <w:top w:val="nil"/>
              <w:left w:val="nil"/>
              <w:bottom w:val="single" w:sz="4" w:space="0" w:color="auto"/>
              <w:right w:val="single" w:sz="4" w:space="0" w:color="auto"/>
            </w:tcBorders>
            <w:shd w:val="clear" w:color="auto" w:fill="auto"/>
            <w:noWrap/>
            <w:vAlign w:val="bottom"/>
            <w:hideMark/>
          </w:tcPr>
          <w:p w14:paraId="4F47E639"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457F852"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0DDE0C94"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6EB74A1E"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68BA77F2"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May</w:t>
            </w:r>
          </w:p>
        </w:tc>
        <w:tc>
          <w:tcPr>
            <w:tcW w:w="2250" w:type="dxa"/>
            <w:tcBorders>
              <w:top w:val="nil"/>
              <w:left w:val="nil"/>
              <w:bottom w:val="single" w:sz="4" w:space="0" w:color="auto"/>
              <w:right w:val="single" w:sz="4" w:space="0" w:color="auto"/>
            </w:tcBorders>
            <w:shd w:val="clear" w:color="auto" w:fill="auto"/>
            <w:noWrap/>
            <w:vAlign w:val="bottom"/>
            <w:hideMark/>
          </w:tcPr>
          <w:p w14:paraId="54986E68"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76D07068"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357543D0"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7F20BF55"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08A34CA6"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June</w:t>
            </w:r>
          </w:p>
        </w:tc>
        <w:tc>
          <w:tcPr>
            <w:tcW w:w="2250" w:type="dxa"/>
            <w:tcBorders>
              <w:top w:val="nil"/>
              <w:left w:val="nil"/>
              <w:bottom w:val="single" w:sz="4" w:space="0" w:color="auto"/>
              <w:right w:val="single" w:sz="4" w:space="0" w:color="auto"/>
            </w:tcBorders>
            <w:shd w:val="clear" w:color="auto" w:fill="auto"/>
            <w:noWrap/>
            <w:vAlign w:val="bottom"/>
            <w:hideMark/>
          </w:tcPr>
          <w:p w14:paraId="7BC03792"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820CFE2"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3DD3BDAF"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1DF4BCB2"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26591B23"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July</w:t>
            </w:r>
          </w:p>
        </w:tc>
        <w:tc>
          <w:tcPr>
            <w:tcW w:w="2250" w:type="dxa"/>
            <w:tcBorders>
              <w:top w:val="nil"/>
              <w:left w:val="nil"/>
              <w:bottom w:val="single" w:sz="4" w:space="0" w:color="auto"/>
              <w:right w:val="single" w:sz="4" w:space="0" w:color="auto"/>
            </w:tcBorders>
            <w:shd w:val="clear" w:color="auto" w:fill="auto"/>
            <w:noWrap/>
            <w:vAlign w:val="bottom"/>
            <w:hideMark/>
          </w:tcPr>
          <w:p w14:paraId="4372DFE9"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2904D173"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38E40085"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4A08A55A"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50F7ABFD"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Income Equity Fund - August</w:t>
            </w:r>
          </w:p>
        </w:tc>
        <w:tc>
          <w:tcPr>
            <w:tcW w:w="2250" w:type="dxa"/>
            <w:tcBorders>
              <w:top w:val="nil"/>
              <w:left w:val="nil"/>
              <w:bottom w:val="single" w:sz="4" w:space="0" w:color="auto"/>
              <w:right w:val="single" w:sz="4" w:space="0" w:color="auto"/>
            </w:tcBorders>
            <w:shd w:val="clear" w:color="auto" w:fill="auto"/>
            <w:noWrap/>
            <w:vAlign w:val="bottom"/>
            <w:hideMark/>
          </w:tcPr>
          <w:p w14:paraId="488DF302"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08B0755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749317E5"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bl>
    <w:p w14:paraId="2292E24D" w14:textId="77777777" w:rsidR="00CB4B54" w:rsidRDefault="00CB4B54" w:rsidP="00CB4B54">
      <w:pPr>
        <w:autoSpaceDE/>
        <w:autoSpaceDN/>
        <w:adjustRightInd/>
        <w:spacing w:line="240" w:lineRule="auto"/>
        <w:jc w:val="right"/>
        <w:rPr>
          <w:rFonts w:ascii="Times New Roman" w:eastAsia="Times New Roman" w:hAnsi="Times New Roman" w:cs="Times New Roman"/>
          <w:i/>
          <w:color w:val="auto"/>
          <w:sz w:val="20"/>
          <w:szCs w:val="20"/>
        </w:rPr>
      </w:pPr>
    </w:p>
    <w:p w14:paraId="780062FC" w14:textId="77777777" w:rsidR="00CB4B54" w:rsidRDefault="00CB4B54" w:rsidP="00CB4B54">
      <w:pPr>
        <w:autoSpaceDE/>
        <w:autoSpaceDN/>
        <w:adjustRightInd/>
        <w:spacing w:line="240" w:lineRule="auto"/>
        <w:jc w:val="right"/>
        <w:rPr>
          <w:rFonts w:ascii="Times New Roman" w:eastAsia="Times New Roman" w:hAnsi="Times New Roman" w:cs="Times New Roman"/>
          <w:i/>
          <w:color w:val="auto"/>
          <w:sz w:val="20"/>
          <w:szCs w:val="20"/>
        </w:rPr>
      </w:pPr>
    </w:p>
    <w:p w14:paraId="41E25489" w14:textId="6F1150B4" w:rsidR="00CB4B54" w:rsidRDefault="00CB4B54" w:rsidP="00CB4B54">
      <w:pPr>
        <w:autoSpaceDE/>
        <w:autoSpaceDN/>
        <w:adjustRightInd/>
        <w:spacing w:line="240" w:lineRule="auto"/>
        <w:jc w:val="right"/>
        <w:outlineLvl w:val="0"/>
        <w:rPr>
          <w:rFonts w:ascii="Times New Roman" w:eastAsia="Times New Roman" w:hAnsi="Times New Roman" w:cs="Times New Roman"/>
          <w:i/>
          <w:color w:val="auto"/>
          <w:sz w:val="20"/>
          <w:szCs w:val="20"/>
        </w:rPr>
      </w:pPr>
      <w:r w:rsidRPr="00EC5E34">
        <w:rPr>
          <w:rFonts w:ascii="Times New Roman" w:eastAsia="Times New Roman" w:hAnsi="Times New Roman" w:cs="Times New Roman"/>
          <w:i/>
          <w:color w:val="auto"/>
          <w:sz w:val="20"/>
          <w:szCs w:val="20"/>
        </w:rPr>
        <w:t>Please see back pag</w:t>
      </w:r>
      <w:r>
        <w:rPr>
          <w:rFonts w:ascii="Times New Roman" w:eastAsia="Times New Roman" w:hAnsi="Times New Roman" w:cs="Times New Roman"/>
          <w:i/>
          <w:color w:val="auto"/>
          <w:sz w:val="20"/>
          <w:szCs w:val="20"/>
        </w:rPr>
        <w:t xml:space="preserve">e for additional DRD </w:t>
      </w:r>
      <w:r w:rsidR="00F066B3">
        <w:rPr>
          <w:rFonts w:ascii="Times New Roman" w:eastAsia="Times New Roman" w:hAnsi="Times New Roman" w:cs="Times New Roman"/>
          <w:i/>
          <w:color w:val="auto"/>
          <w:sz w:val="20"/>
          <w:szCs w:val="20"/>
        </w:rPr>
        <w:t xml:space="preserve">and QDI </w:t>
      </w:r>
      <w:r>
        <w:rPr>
          <w:rFonts w:ascii="Times New Roman" w:eastAsia="Times New Roman" w:hAnsi="Times New Roman" w:cs="Times New Roman"/>
          <w:i/>
          <w:color w:val="auto"/>
          <w:sz w:val="20"/>
          <w:szCs w:val="20"/>
        </w:rPr>
        <w:t>percentage</w:t>
      </w:r>
      <w:r w:rsidR="00A35DB9">
        <w:rPr>
          <w:rFonts w:ascii="Times New Roman" w:eastAsia="Times New Roman" w:hAnsi="Times New Roman" w:cs="Times New Roman"/>
          <w:i/>
          <w:color w:val="auto"/>
          <w:sz w:val="20"/>
          <w:szCs w:val="20"/>
        </w:rPr>
        <w:t>s</w:t>
      </w:r>
    </w:p>
    <w:p w14:paraId="22D1D055" w14:textId="77777777" w:rsidR="00CB4B54" w:rsidRDefault="00CB4B54" w:rsidP="00CB4B54">
      <w:pPr>
        <w:autoSpaceDE/>
        <w:autoSpaceDN/>
        <w:adjustRightInd/>
        <w:spacing w:line="240" w:lineRule="auto"/>
        <w:jc w:val="right"/>
        <w:outlineLvl w:val="0"/>
        <w:rPr>
          <w:rFonts w:ascii="Times New Roman" w:eastAsia="Times New Roman" w:hAnsi="Times New Roman" w:cs="Times New Roman"/>
          <w:i/>
          <w:color w:val="auto"/>
          <w:sz w:val="20"/>
          <w:szCs w:val="20"/>
        </w:rPr>
      </w:pPr>
    </w:p>
    <w:tbl>
      <w:tblPr>
        <w:tblW w:w="9375" w:type="dxa"/>
        <w:tblInd w:w="93" w:type="dxa"/>
        <w:tblLayout w:type="fixed"/>
        <w:tblLook w:val="04A0" w:firstRow="1" w:lastRow="0" w:firstColumn="1" w:lastColumn="0" w:noHBand="0" w:noVBand="1"/>
      </w:tblPr>
      <w:tblGrid>
        <w:gridCol w:w="4965"/>
        <w:gridCol w:w="2250"/>
        <w:gridCol w:w="1080"/>
        <w:gridCol w:w="1080"/>
      </w:tblGrid>
      <w:tr w:rsidR="00CB4B54" w:rsidRPr="003A220B" w14:paraId="18E1DD00" w14:textId="77777777" w:rsidTr="007633FA">
        <w:trPr>
          <w:trHeight w:val="285"/>
        </w:trPr>
        <w:tc>
          <w:tcPr>
            <w:tcW w:w="496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6320812" w14:textId="77777777" w:rsidR="00CB4B54" w:rsidRPr="003A220B" w:rsidRDefault="00CB4B54" w:rsidP="007633FA">
            <w:pPr>
              <w:autoSpaceDE/>
              <w:autoSpaceDN/>
              <w:adjustRightInd/>
              <w:spacing w:line="240" w:lineRule="auto"/>
              <w:rPr>
                <w:rFonts w:ascii="Times New Roman" w:eastAsia="Times New Roman" w:hAnsi="Times New Roman" w:cs="Times New Roman"/>
                <w:b/>
                <w:bCs/>
                <w:color w:val="auto"/>
                <w:sz w:val="22"/>
                <w:szCs w:val="22"/>
              </w:rPr>
            </w:pPr>
            <w:r w:rsidRPr="003A220B">
              <w:rPr>
                <w:rFonts w:ascii="Times New Roman" w:eastAsia="Times New Roman" w:hAnsi="Times New Roman" w:cs="Times New Roman"/>
                <w:b/>
                <w:bCs/>
                <w:color w:val="auto"/>
                <w:sz w:val="22"/>
                <w:szCs w:val="22"/>
              </w:rPr>
              <w:t>Northern Funds</w:t>
            </w:r>
          </w:p>
        </w:tc>
        <w:tc>
          <w:tcPr>
            <w:tcW w:w="2250" w:type="dxa"/>
            <w:tcBorders>
              <w:top w:val="single" w:sz="8" w:space="0" w:color="auto"/>
              <w:left w:val="nil"/>
              <w:bottom w:val="single" w:sz="4" w:space="0" w:color="auto"/>
              <w:right w:val="single" w:sz="8" w:space="0" w:color="auto"/>
            </w:tcBorders>
            <w:shd w:val="clear" w:color="auto" w:fill="auto"/>
            <w:vAlign w:val="bottom"/>
            <w:hideMark/>
          </w:tcPr>
          <w:p w14:paraId="286C8769" w14:textId="77777777" w:rsidR="00CB4B54" w:rsidRPr="003A220B" w:rsidRDefault="00CB4B54" w:rsidP="007633FA">
            <w:pPr>
              <w:autoSpaceDE/>
              <w:autoSpaceDN/>
              <w:adjustRightInd/>
              <w:spacing w:line="240" w:lineRule="auto"/>
              <w:rPr>
                <w:rFonts w:ascii="Times New Roman" w:eastAsia="Times New Roman" w:hAnsi="Times New Roman" w:cs="Times New Roman"/>
                <w:b/>
                <w:bCs/>
                <w:color w:val="auto"/>
                <w:sz w:val="22"/>
                <w:szCs w:val="22"/>
              </w:rPr>
            </w:pPr>
            <w:r w:rsidRPr="003A220B">
              <w:rPr>
                <w:rFonts w:ascii="Times New Roman" w:eastAsia="Times New Roman" w:hAnsi="Times New Roman" w:cs="Times New Roman"/>
                <w:b/>
                <w:bCs/>
                <w:color w:val="auto"/>
                <w:sz w:val="22"/>
                <w:szCs w:val="22"/>
              </w:rPr>
              <w:t>Payment Frequency</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66939E0F" w14:textId="77777777" w:rsidR="00CB4B54" w:rsidRPr="003A220B" w:rsidRDefault="00CB4B54" w:rsidP="007633FA">
            <w:pPr>
              <w:autoSpaceDE/>
              <w:autoSpaceDN/>
              <w:adjustRightInd/>
              <w:spacing w:line="240" w:lineRule="auto"/>
              <w:jc w:val="right"/>
              <w:rPr>
                <w:rFonts w:ascii="Times New Roman" w:eastAsia="Times New Roman" w:hAnsi="Times New Roman" w:cs="Times New Roman"/>
                <w:b/>
                <w:bCs/>
                <w:color w:val="auto"/>
                <w:sz w:val="22"/>
                <w:szCs w:val="22"/>
              </w:rPr>
            </w:pPr>
            <w:r w:rsidRPr="003A220B">
              <w:rPr>
                <w:rFonts w:ascii="Times New Roman" w:eastAsia="Times New Roman" w:hAnsi="Times New Roman" w:cs="Times New Roman"/>
                <w:b/>
                <w:bCs/>
                <w:color w:val="auto"/>
                <w:sz w:val="22"/>
                <w:szCs w:val="22"/>
              </w:rPr>
              <w:t>DRD%</w:t>
            </w:r>
          </w:p>
        </w:tc>
        <w:tc>
          <w:tcPr>
            <w:tcW w:w="1080" w:type="dxa"/>
            <w:tcBorders>
              <w:top w:val="single" w:sz="8" w:space="0" w:color="auto"/>
              <w:left w:val="nil"/>
              <w:bottom w:val="single" w:sz="4" w:space="0" w:color="auto"/>
              <w:right w:val="single" w:sz="8" w:space="0" w:color="auto"/>
            </w:tcBorders>
          </w:tcPr>
          <w:p w14:paraId="48239A43" w14:textId="77777777" w:rsidR="00CB4B54" w:rsidRPr="003A220B" w:rsidRDefault="00CB4B54" w:rsidP="007633FA">
            <w:pPr>
              <w:autoSpaceDE/>
              <w:autoSpaceDN/>
              <w:adjustRightInd/>
              <w:spacing w:line="240" w:lineRule="auto"/>
              <w:jc w:val="right"/>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QDI%</w:t>
            </w:r>
          </w:p>
        </w:tc>
      </w:tr>
      <w:tr w:rsidR="00F066B3" w:rsidRPr="003A220B" w14:paraId="4666AB55" w14:textId="77777777" w:rsidTr="00DE55B0">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43E48BA5" w14:textId="4A6F68CD" w:rsidR="00F066B3" w:rsidRDefault="00F066B3" w:rsidP="00DE55B0">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Income Equity Fund - September</w:t>
            </w:r>
          </w:p>
        </w:tc>
        <w:tc>
          <w:tcPr>
            <w:tcW w:w="2250" w:type="dxa"/>
            <w:tcBorders>
              <w:top w:val="nil"/>
              <w:left w:val="nil"/>
              <w:bottom w:val="single" w:sz="4" w:space="0" w:color="auto"/>
              <w:right w:val="single" w:sz="4" w:space="0" w:color="auto"/>
            </w:tcBorders>
            <w:shd w:val="clear" w:color="auto" w:fill="auto"/>
            <w:noWrap/>
            <w:vAlign w:val="bottom"/>
          </w:tcPr>
          <w:p w14:paraId="31CE1375" w14:textId="2F145BF6" w:rsidR="00F066B3" w:rsidRDefault="00F066B3" w:rsidP="00DE55B0">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49CD332A" w14:textId="3B18BDE4" w:rsidR="00F066B3" w:rsidRDefault="00F066B3" w:rsidP="00DE55B0">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6030ACEB" w14:textId="3F399F48" w:rsidR="00F066B3" w:rsidRDefault="00F066B3" w:rsidP="00DE55B0">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100.00%</w:t>
            </w:r>
          </w:p>
        </w:tc>
      </w:tr>
      <w:tr w:rsidR="00F066B3" w:rsidRPr="003A220B" w14:paraId="298FD26E" w14:textId="77777777" w:rsidTr="00DE55B0">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6BC7AE4C" w14:textId="20A063A0" w:rsidR="00F066B3" w:rsidRDefault="00F066B3" w:rsidP="00DE55B0">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Income Equity Fund - October</w:t>
            </w:r>
          </w:p>
        </w:tc>
        <w:tc>
          <w:tcPr>
            <w:tcW w:w="2250" w:type="dxa"/>
            <w:tcBorders>
              <w:top w:val="nil"/>
              <w:left w:val="nil"/>
              <w:bottom w:val="single" w:sz="4" w:space="0" w:color="auto"/>
              <w:right w:val="single" w:sz="4" w:space="0" w:color="auto"/>
            </w:tcBorders>
            <w:shd w:val="clear" w:color="auto" w:fill="auto"/>
            <w:noWrap/>
            <w:vAlign w:val="bottom"/>
          </w:tcPr>
          <w:p w14:paraId="66769251" w14:textId="441ABC21" w:rsidR="00F066B3" w:rsidRDefault="00F066B3" w:rsidP="00DE55B0">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6DD81F3D" w14:textId="50B01102" w:rsidR="00F066B3" w:rsidRDefault="00F066B3" w:rsidP="00DE55B0">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173363FE" w14:textId="0D895D76" w:rsidR="00F066B3" w:rsidRDefault="00F066B3" w:rsidP="00DE55B0">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100.00%</w:t>
            </w:r>
          </w:p>
        </w:tc>
      </w:tr>
      <w:tr w:rsidR="00F066B3" w:rsidRPr="003A220B" w14:paraId="714B6F43" w14:textId="77777777" w:rsidTr="00DE55B0">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0D88808F" w14:textId="69D32246" w:rsidR="00F066B3" w:rsidRDefault="00F066B3" w:rsidP="00DE55B0">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Income Equity Fund - November</w:t>
            </w:r>
          </w:p>
        </w:tc>
        <w:tc>
          <w:tcPr>
            <w:tcW w:w="2250" w:type="dxa"/>
            <w:tcBorders>
              <w:top w:val="nil"/>
              <w:left w:val="nil"/>
              <w:bottom w:val="single" w:sz="4" w:space="0" w:color="auto"/>
              <w:right w:val="single" w:sz="4" w:space="0" w:color="auto"/>
            </w:tcBorders>
            <w:shd w:val="clear" w:color="auto" w:fill="auto"/>
            <w:noWrap/>
            <w:vAlign w:val="bottom"/>
          </w:tcPr>
          <w:p w14:paraId="48B8A313" w14:textId="63D6D04A" w:rsidR="00F066B3" w:rsidRDefault="00F066B3" w:rsidP="00DE55B0">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6E54E16C" w14:textId="43018033" w:rsidR="00F066B3" w:rsidRDefault="00F066B3" w:rsidP="00DE55B0">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4958DE0D" w14:textId="2B9FEBC9" w:rsidR="00F066B3" w:rsidRDefault="00F066B3" w:rsidP="00DE55B0">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100.00%</w:t>
            </w:r>
          </w:p>
        </w:tc>
      </w:tr>
      <w:tr w:rsidR="00F066B3" w:rsidRPr="003A220B" w14:paraId="19824EBC" w14:textId="77777777" w:rsidTr="00DE55B0">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75F855AC" w14:textId="31254DE5" w:rsidR="00F066B3" w:rsidRDefault="00F066B3" w:rsidP="00DE55B0">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Income Equity Fund - December</w:t>
            </w:r>
          </w:p>
        </w:tc>
        <w:tc>
          <w:tcPr>
            <w:tcW w:w="2250" w:type="dxa"/>
            <w:tcBorders>
              <w:top w:val="nil"/>
              <w:left w:val="nil"/>
              <w:bottom w:val="single" w:sz="4" w:space="0" w:color="auto"/>
              <w:right w:val="single" w:sz="4" w:space="0" w:color="auto"/>
            </w:tcBorders>
            <w:shd w:val="clear" w:color="auto" w:fill="auto"/>
            <w:noWrap/>
            <w:vAlign w:val="bottom"/>
          </w:tcPr>
          <w:p w14:paraId="52FB9CE5" w14:textId="7F2A15CA" w:rsidR="00F066B3" w:rsidRDefault="00F066B3" w:rsidP="00DE55B0">
            <w:pPr>
              <w:rPr>
                <w:rFonts w:ascii="Arial" w:eastAsia="Times New Roman" w:hAnsi="Arial" w:cs="Arial"/>
                <w:sz w:val="20"/>
                <w:szCs w:val="20"/>
              </w:rPr>
            </w:pPr>
            <w:r>
              <w:rPr>
                <w:rFonts w:ascii="Arial" w:eastAsia="Times New Roman" w:hAnsi="Arial" w:cs="Arial"/>
                <w:sz w:val="20"/>
                <w:szCs w:val="20"/>
              </w:rPr>
              <w:t>Monthly</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19BEEF4F" w14:textId="0C92F127" w:rsidR="00F066B3" w:rsidRDefault="00F066B3" w:rsidP="00DE55B0">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4CEF75AD" w14:textId="7C3A27ED" w:rsidR="00F066B3" w:rsidRDefault="00F066B3" w:rsidP="00DE55B0">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100.00%</w:t>
            </w:r>
          </w:p>
        </w:tc>
      </w:tr>
      <w:tr w:rsidR="00F066B3" w:rsidRPr="003A220B" w14:paraId="26CFE3E4" w14:textId="77777777" w:rsidTr="00DE55B0">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37133074" w14:textId="5E1AA93B" w:rsidR="00F066B3" w:rsidRDefault="00F066B3" w:rsidP="00DE55B0">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International Equity Fund </w:t>
            </w:r>
          </w:p>
        </w:tc>
        <w:tc>
          <w:tcPr>
            <w:tcW w:w="2250" w:type="dxa"/>
            <w:tcBorders>
              <w:top w:val="nil"/>
              <w:left w:val="nil"/>
              <w:bottom w:val="single" w:sz="4" w:space="0" w:color="auto"/>
              <w:right w:val="single" w:sz="4" w:space="0" w:color="auto"/>
            </w:tcBorders>
            <w:shd w:val="clear" w:color="auto" w:fill="auto"/>
            <w:noWrap/>
            <w:vAlign w:val="bottom"/>
          </w:tcPr>
          <w:p w14:paraId="7636A7C8" w14:textId="3FDB1945" w:rsidR="00F066B3" w:rsidRDefault="00F066B3" w:rsidP="00DE55B0">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29CF9519" w14:textId="536547ED" w:rsidR="00F066B3" w:rsidRDefault="00F066B3" w:rsidP="00DE55B0">
            <w:pPr>
              <w:jc w:val="right"/>
              <w:rPr>
                <w:rFonts w:ascii="Calibri" w:eastAsia="Times New Roman" w:hAnsi="Calibri" w:cs="Arial"/>
                <w:sz w:val="22"/>
                <w:szCs w:val="22"/>
              </w:rPr>
            </w:pPr>
            <w:r>
              <w:rPr>
                <w:rFonts w:ascii="Calibri" w:eastAsia="Times New Roman" w:hAnsi="Calibri" w:cs="Arial"/>
                <w:sz w:val="22"/>
                <w:szCs w:val="22"/>
              </w:rPr>
              <w:t>0.41%</w:t>
            </w:r>
          </w:p>
        </w:tc>
        <w:tc>
          <w:tcPr>
            <w:tcW w:w="1080" w:type="dxa"/>
            <w:tcBorders>
              <w:top w:val="nil"/>
              <w:left w:val="single" w:sz="4" w:space="0" w:color="7F7F7F"/>
              <w:bottom w:val="single" w:sz="4" w:space="0" w:color="7F7F7F"/>
              <w:right w:val="single" w:sz="8" w:space="0" w:color="auto"/>
            </w:tcBorders>
            <w:vAlign w:val="bottom"/>
          </w:tcPr>
          <w:p w14:paraId="1B97BA39" w14:textId="6F854375" w:rsidR="00F066B3" w:rsidRDefault="00F066B3" w:rsidP="00DE55B0">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100.00%</w:t>
            </w:r>
          </w:p>
        </w:tc>
      </w:tr>
      <w:tr w:rsidR="00F066B3" w:rsidRPr="003A220B" w14:paraId="38A2F0E9" w14:textId="77777777" w:rsidTr="00DE55B0">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10666ABD" w14:textId="6679E313" w:rsidR="00F066B3" w:rsidRDefault="00F066B3" w:rsidP="00DE55B0">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International Equity Index Fund </w:t>
            </w:r>
          </w:p>
        </w:tc>
        <w:tc>
          <w:tcPr>
            <w:tcW w:w="2250" w:type="dxa"/>
            <w:tcBorders>
              <w:top w:val="nil"/>
              <w:left w:val="nil"/>
              <w:bottom w:val="single" w:sz="4" w:space="0" w:color="auto"/>
              <w:right w:val="single" w:sz="4" w:space="0" w:color="auto"/>
            </w:tcBorders>
            <w:shd w:val="clear" w:color="auto" w:fill="auto"/>
            <w:noWrap/>
            <w:vAlign w:val="bottom"/>
          </w:tcPr>
          <w:p w14:paraId="44197E05" w14:textId="6D094E9B" w:rsidR="00F066B3" w:rsidRDefault="00F066B3" w:rsidP="00DE55B0">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210469D9" w14:textId="19197012" w:rsidR="00F066B3" w:rsidRDefault="00F066B3" w:rsidP="00DE55B0">
            <w:pPr>
              <w:jc w:val="right"/>
              <w:rPr>
                <w:rFonts w:ascii="Calibri" w:eastAsia="Times New Roman" w:hAnsi="Calibri" w:cs="Arial"/>
                <w:sz w:val="22"/>
                <w:szCs w:val="22"/>
              </w:rPr>
            </w:pPr>
            <w:r>
              <w:rPr>
                <w:rFonts w:ascii="Calibri" w:eastAsia="Times New Roman" w:hAnsi="Calibri" w:cs="Arial"/>
                <w:sz w:val="22"/>
                <w:szCs w:val="22"/>
              </w:rPr>
              <w:t>0.00%</w:t>
            </w:r>
          </w:p>
        </w:tc>
        <w:tc>
          <w:tcPr>
            <w:tcW w:w="1080" w:type="dxa"/>
            <w:tcBorders>
              <w:top w:val="nil"/>
              <w:left w:val="single" w:sz="4" w:space="0" w:color="7F7F7F"/>
              <w:bottom w:val="single" w:sz="4" w:space="0" w:color="7F7F7F"/>
              <w:right w:val="single" w:sz="8" w:space="0" w:color="auto"/>
            </w:tcBorders>
            <w:vAlign w:val="bottom"/>
          </w:tcPr>
          <w:p w14:paraId="415D701D" w14:textId="7FED1B68" w:rsidR="00F066B3" w:rsidRDefault="00F066B3" w:rsidP="00DE55B0">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97.08%</w:t>
            </w:r>
          </w:p>
        </w:tc>
      </w:tr>
      <w:tr w:rsidR="00F066B3" w:rsidRPr="003A220B" w14:paraId="0524BBBC" w14:textId="77777777" w:rsidTr="00DE55B0">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5E00F575" w14:textId="46415FD0" w:rsidR="00F066B3" w:rsidRDefault="00F066B3" w:rsidP="00DE55B0">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Large Cap Core Fund Q1</w:t>
            </w:r>
          </w:p>
        </w:tc>
        <w:tc>
          <w:tcPr>
            <w:tcW w:w="2250" w:type="dxa"/>
            <w:tcBorders>
              <w:top w:val="nil"/>
              <w:left w:val="nil"/>
              <w:bottom w:val="single" w:sz="4" w:space="0" w:color="auto"/>
              <w:right w:val="single" w:sz="4" w:space="0" w:color="auto"/>
            </w:tcBorders>
            <w:shd w:val="clear" w:color="auto" w:fill="auto"/>
            <w:noWrap/>
            <w:vAlign w:val="bottom"/>
          </w:tcPr>
          <w:p w14:paraId="65D56909" w14:textId="5505924B" w:rsidR="00F066B3" w:rsidRDefault="00F066B3" w:rsidP="00DE55B0">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472B6ED0" w14:textId="51CA1805" w:rsidR="00F066B3" w:rsidRDefault="00F066B3" w:rsidP="00DE55B0">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6846F4A8" w14:textId="51084A50" w:rsidR="00F066B3" w:rsidRDefault="00F066B3" w:rsidP="00DE55B0">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100.00%</w:t>
            </w:r>
          </w:p>
        </w:tc>
      </w:tr>
      <w:tr w:rsidR="00F066B3" w:rsidRPr="003A220B" w14:paraId="3769893C"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tcPr>
          <w:p w14:paraId="39C06442" w14:textId="4617B861" w:rsidR="00F066B3" w:rsidRDefault="00F066B3" w:rsidP="007633FA">
            <w:pPr>
              <w:autoSpaceDE/>
              <w:autoSpaceDN/>
              <w:adjustRightInd/>
              <w:spacing w:line="240" w:lineRule="auto"/>
              <w:rPr>
                <w:rFonts w:ascii="Arial" w:eastAsia="Times New Roman" w:hAnsi="Arial" w:cs="Arial"/>
                <w:sz w:val="20"/>
                <w:szCs w:val="20"/>
              </w:rPr>
            </w:pPr>
            <w:r>
              <w:rPr>
                <w:rFonts w:ascii="Arial" w:eastAsia="Times New Roman" w:hAnsi="Arial" w:cs="Arial"/>
                <w:sz w:val="20"/>
                <w:szCs w:val="20"/>
              </w:rPr>
              <w:t xml:space="preserve"> Large Cap Core Fund Q2</w:t>
            </w:r>
          </w:p>
        </w:tc>
        <w:tc>
          <w:tcPr>
            <w:tcW w:w="2250" w:type="dxa"/>
            <w:tcBorders>
              <w:top w:val="nil"/>
              <w:left w:val="nil"/>
              <w:bottom w:val="single" w:sz="4" w:space="0" w:color="auto"/>
              <w:right w:val="single" w:sz="4" w:space="0" w:color="auto"/>
            </w:tcBorders>
            <w:shd w:val="clear" w:color="auto" w:fill="auto"/>
            <w:noWrap/>
            <w:vAlign w:val="bottom"/>
          </w:tcPr>
          <w:p w14:paraId="24D3108B" w14:textId="1709287F" w:rsidR="00F066B3" w:rsidRDefault="00F066B3"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tcPr>
          <w:p w14:paraId="502E72CC" w14:textId="55636002" w:rsidR="00F066B3" w:rsidRDefault="00F066B3"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20F6CED5" w14:textId="60671EB1" w:rsidR="00F066B3" w:rsidRDefault="00F066B3" w:rsidP="007633FA">
            <w:pPr>
              <w:autoSpaceDE/>
              <w:autoSpaceDN/>
              <w:adjustRightInd/>
              <w:spacing w:line="240" w:lineRule="auto"/>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3D59ADF3"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2BE8089E" w14:textId="77777777" w:rsidR="00CB4B54" w:rsidRDefault="00CB4B54" w:rsidP="007633FA">
            <w:pPr>
              <w:autoSpaceDE/>
              <w:autoSpaceDN/>
              <w:adjustRightInd/>
              <w:spacing w:line="240" w:lineRule="auto"/>
              <w:rPr>
                <w:rFonts w:ascii="Arial" w:eastAsia="Times New Roman" w:hAnsi="Arial" w:cs="Arial"/>
                <w:color w:val="auto"/>
                <w:sz w:val="20"/>
                <w:szCs w:val="20"/>
              </w:rPr>
            </w:pPr>
            <w:r>
              <w:rPr>
                <w:rFonts w:ascii="Arial" w:eastAsia="Times New Roman" w:hAnsi="Arial" w:cs="Arial"/>
                <w:sz w:val="20"/>
                <w:szCs w:val="20"/>
              </w:rPr>
              <w:t xml:space="preserve"> Large Cap Core Fund Q3</w:t>
            </w:r>
          </w:p>
        </w:tc>
        <w:tc>
          <w:tcPr>
            <w:tcW w:w="2250" w:type="dxa"/>
            <w:tcBorders>
              <w:top w:val="nil"/>
              <w:left w:val="nil"/>
              <w:bottom w:val="single" w:sz="4" w:space="0" w:color="auto"/>
              <w:right w:val="single" w:sz="4" w:space="0" w:color="auto"/>
            </w:tcBorders>
            <w:shd w:val="clear" w:color="auto" w:fill="auto"/>
            <w:noWrap/>
            <w:vAlign w:val="bottom"/>
            <w:hideMark/>
          </w:tcPr>
          <w:p w14:paraId="7F9F510A"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DF4DCF4"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55CD3AE8" w14:textId="77777777" w:rsidR="00CB4B54" w:rsidRDefault="00CB4B54" w:rsidP="007633FA">
            <w:pPr>
              <w:autoSpaceDE/>
              <w:autoSpaceDN/>
              <w:adjustRightInd/>
              <w:spacing w:line="240" w:lineRule="auto"/>
              <w:jc w:val="right"/>
              <w:rPr>
                <w:rFonts w:ascii="Calibri" w:eastAsia="Times New Roman" w:hAnsi="Calibri" w:cs="Arial"/>
                <w:color w:val="auto"/>
                <w:sz w:val="22"/>
                <w:szCs w:val="22"/>
              </w:rPr>
            </w:pPr>
            <w:r>
              <w:rPr>
                <w:rFonts w:ascii="Calibri" w:eastAsia="Times New Roman" w:hAnsi="Calibri" w:cs="Arial"/>
                <w:sz w:val="22"/>
                <w:szCs w:val="22"/>
              </w:rPr>
              <w:t>100.00%</w:t>
            </w:r>
          </w:p>
        </w:tc>
      </w:tr>
      <w:tr w:rsidR="00CB4B54" w:rsidRPr="003A220B" w14:paraId="6737316A"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34730AAF"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Large Cap Core Fund Q4</w:t>
            </w:r>
          </w:p>
        </w:tc>
        <w:tc>
          <w:tcPr>
            <w:tcW w:w="2250" w:type="dxa"/>
            <w:tcBorders>
              <w:top w:val="nil"/>
              <w:left w:val="nil"/>
              <w:bottom w:val="single" w:sz="4" w:space="0" w:color="auto"/>
              <w:right w:val="single" w:sz="4" w:space="0" w:color="auto"/>
            </w:tcBorders>
            <w:shd w:val="clear" w:color="auto" w:fill="auto"/>
            <w:noWrap/>
            <w:vAlign w:val="bottom"/>
            <w:hideMark/>
          </w:tcPr>
          <w:p w14:paraId="3C6DB963"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586DCE53"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33.10%</w:t>
            </w:r>
          </w:p>
        </w:tc>
        <w:tc>
          <w:tcPr>
            <w:tcW w:w="1080" w:type="dxa"/>
            <w:tcBorders>
              <w:top w:val="nil"/>
              <w:left w:val="single" w:sz="4" w:space="0" w:color="7F7F7F"/>
              <w:bottom w:val="single" w:sz="4" w:space="0" w:color="7F7F7F"/>
              <w:right w:val="single" w:sz="8" w:space="0" w:color="auto"/>
            </w:tcBorders>
            <w:vAlign w:val="bottom"/>
          </w:tcPr>
          <w:p w14:paraId="07912B4F"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7330DF5F"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4B6FA6CB" w14:textId="6ECE41B6" w:rsidR="00CB4B54" w:rsidRDefault="00A323E3" w:rsidP="007633FA">
            <w:pPr>
              <w:rPr>
                <w:rFonts w:ascii="Arial" w:eastAsia="Times New Roman" w:hAnsi="Arial" w:cs="Arial"/>
                <w:sz w:val="20"/>
                <w:szCs w:val="20"/>
              </w:rPr>
            </w:pPr>
            <w:r>
              <w:rPr>
                <w:rFonts w:ascii="Arial" w:eastAsia="Times New Roman" w:hAnsi="Arial" w:cs="Arial"/>
                <w:sz w:val="20"/>
                <w:szCs w:val="20"/>
              </w:rPr>
              <w:t xml:space="preserve"> Large Cap Equity Fund </w:t>
            </w:r>
            <w:r w:rsidR="00CB4B54">
              <w:rPr>
                <w:rFonts w:ascii="Arial" w:eastAsia="Times New Roman" w:hAnsi="Arial" w:cs="Arial"/>
                <w:sz w:val="20"/>
                <w:szCs w:val="20"/>
              </w:rPr>
              <w:t>Q1*</w:t>
            </w:r>
          </w:p>
        </w:tc>
        <w:tc>
          <w:tcPr>
            <w:tcW w:w="2250" w:type="dxa"/>
            <w:tcBorders>
              <w:top w:val="nil"/>
              <w:left w:val="nil"/>
              <w:bottom w:val="single" w:sz="4" w:space="0" w:color="auto"/>
              <w:right w:val="single" w:sz="4" w:space="0" w:color="auto"/>
            </w:tcBorders>
            <w:shd w:val="clear" w:color="auto" w:fill="auto"/>
            <w:noWrap/>
            <w:vAlign w:val="bottom"/>
            <w:hideMark/>
          </w:tcPr>
          <w:p w14:paraId="155E9A2F"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694DA7C8"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55.97%</w:t>
            </w:r>
          </w:p>
        </w:tc>
        <w:tc>
          <w:tcPr>
            <w:tcW w:w="1080" w:type="dxa"/>
            <w:tcBorders>
              <w:top w:val="nil"/>
              <w:left w:val="single" w:sz="4" w:space="0" w:color="7F7F7F"/>
              <w:bottom w:val="single" w:sz="4" w:space="0" w:color="7F7F7F"/>
              <w:right w:val="single" w:sz="8" w:space="0" w:color="auto"/>
            </w:tcBorders>
            <w:vAlign w:val="bottom"/>
          </w:tcPr>
          <w:p w14:paraId="632A9206"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076D742D"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34F62EA2" w14:textId="2B20915A" w:rsidR="00CB4B54" w:rsidRDefault="00A323E3" w:rsidP="007633FA">
            <w:pPr>
              <w:rPr>
                <w:rFonts w:ascii="Arial" w:eastAsia="Times New Roman" w:hAnsi="Arial" w:cs="Arial"/>
                <w:sz w:val="20"/>
                <w:szCs w:val="20"/>
              </w:rPr>
            </w:pPr>
            <w:r>
              <w:rPr>
                <w:rFonts w:ascii="Arial" w:eastAsia="Times New Roman" w:hAnsi="Arial" w:cs="Arial"/>
                <w:sz w:val="20"/>
                <w:szCs w:val="20"/>
              </w:rPr>
              <w:t xml:space="preserve"> Large Cap Equity Fund </w:t>
            </w:r>
            <w:r w:rsidR="00CB4B54">
              <w:rPr>
                <w:rFonts w:ascii="Arial" w:eastAsia="Times New Roman" w:hAnsi="Arial" w:cs="Arial"/>
                <w:sz w:val="20"/>
                <w:szCs w:val="20"/>
              </w:rPr>
              <w:t>Q2*</w:t>
            </w:r>
          </w:p>
        </w:tc>
        <w:tc>
          <w:tcPr>
            <w:tcW w:w="2250" w:type="dxa"/>
            <w:tcBorders>
              <w:top w:val="nil"/>
              <w:left w:val="nil"/>
              <w:bottom w:val="single" w:sz="4" w:space="0" w:color="auto"/>
              <w:right w:val="single" w:sz="4" w:space="0" w:color="auto"/>
            </w:tcBorders>
            <w:shd w:val="clear" w:color="auto" w:fill="auto"/>
            <w:noWrap/>
            <w:vAlign w:val="bottom"/>
            <w:hideMark/>
          </w:tcPr>
          <w:p w14:paraId="6367BEB6"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E0C3F5C"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56E76DD5"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2DE7E270"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0D0E9620"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Large Cap Equity Fund Q3*</w:t>
            </w:r>
          </w:p>
        </w:tc>
        <w:tc>
          <w:tcPr>
            <w:tcW w:w="2250" w:type="dxa"/>
            <w:tcBorders>
              <w:top w:val="nil"/>
              <w:left w:val="nil"/>
              <w:bottom w:val="single" w:sz="4" w:space="0" w:color="auto"/>
              <w:right w:val="single" w:sz="4" w:space="0" w:color="auto"/>
            </w:tcBorders>
            <w:shd w:val="clear" w:color="auto" w:fill="auto"/>
            <w:noWrap/>
            <w:vAlign w:val="bottom"/>
            <w:hideMark/>
          </w:tcPr>
          <w:p w14:paraId="03A210D0"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7B6B9E1A"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5.36%</w:t>
            </w:r>
          </w:p>
        </w:tc>
        <w:tc>
          <w:tcPr>
            <w:tcW w:w="1080" w:type="dxa"/>
            <w:tcBorders>
              <w:top w:val="nil"/>
              <w:left w:val="single" w:sz="4" w:space="0" w:color="7F7F7F"/>
              <w:bottom w:val="single" w:sz="4" w:space="0" w:color="7F7F7F"/>
              <w:right w:val="single" w:sz="8" w:space="0" w:color="auto"/>
            </w:tcBorders>
            <w:vAlign w:val="bottom"/>
          </w:tcPr>
          <w:p w14:paraId="6A9D4188"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0FF2F69C"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33E6A8F9"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Large Cap Value Fund</w:t>
            </w:r>
          </w:p>
        </w:tc>
        <w:tc>
          <w:tcPr>
            <w:tcW w:w="2250" w:type="dxa"/>
            <w:tcBorders>
              <w:top w:val="nil"/>
              <w:left w:val="nil"/>
              <w:bottom w:val="single" w:sz="4" w:space="0" w:color="auto"/>
              <w:right w:val="single" w:sz="4" w:space="0" w:color="auto"/>
            </w:tcBorders>
            <w:shd w:val="clear" w:color="auto" w:fill="auto"/>
            <w:noWrap/>
            <w:vAlign w:val="bottom"/>
            <w:hideMark/>
          </w:tcPr>
          <w:p w14:paraId="32ED1A78"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D1D4868"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nil"/>
              <w:left w:val="single" w:sz="4" w:space="0" w:color="7F7F7F"/>
              <w:bottom w:val="single" w:sz="4" w:space="0" w:color="7F7F7F"/>
              <w:right w:val="single" w:sz="8" w:space="0" w:color="auto"/>
            </w:tcBorders>
            <w:vAlign w:val="bottom"/>
          </w:tcPr>
          <w:p w14:paraId="776F9D50"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6E7C9507"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76EB6B8D"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Mid Cap Index Fund </w:t>
            </w:r>
          </w:p>
        </w:tc>
        <w:tc>
          <w:tcPr>
            <w:tcW w:w="2250" w:type="dxa"/>
            <w:tcBorders>
              <w:top w:val="nil"/>
              <w:left w:val="nil"/>
              <w:bottom w:val="single" w:sz="4" w:space="0" w:color="auto"/>
              <w:right w:val="single" w:sz="4" w:space="0" w:color="auto"/>
            </w:tcBorders>
            <w:shd w:val="clear" w:color="auto" w:fill="auto"/>
            <w:noWrap/>
            <w:vAlign w:val="bottom"/>
            <w:hideMark/>
          </w:tcPr>
          <w:p w14:paraId="4089F8DC"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081CD47C"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42.91%</w:t>
            </w:r>
          </w:p>
        </w:tc>
        <w:tc>
          <w:tcPr>
            <w:tcW w:w="1080" w:type="dxa"/>
            <w:tcBorders>
              <w:top w:val="nil"/>
              <w:left w:val="single" w:sz="4" w:space="0" w:color="7F7F7F"/>
              <w:bottom w:val="single" w:sz="4" w:space="0" w:color="7F7F7F"/>
              <w:right w:val="single" w:sz="8" w:space="0" w:color="auto"/>
            </w:tcBorders>
            <w:vAlign w:val="bottom"/>
          </w:tcPr>
          <w:p w14:paraId="5510543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91.73%</w:t>
            </w:r>
          </w:p>
        </w:tc>
      </w:tr>
      <w:tr w:rsidR="00CB4B54" w:rsidRPr="003A220B" w14:paraId="478EB13E" w14:textId="77777777" w:rsidTr="007633FA">
        <w:trPr>
          <w:trHeight w:val="300"/>
        </w:trPr>
        <w:tc>
          <w:tcPr>
            <w:tcW w:w="49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6E2AD3"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Multi-Manager Global Listed Infrastructure Fund Q1</w:t>
            </w:r>
          </w:p>
        </w:tc>
        <w:tc>
          <w:tcPr>
            <w:tcW w:w="2250" w:type="dxa"/>
            <w:tcBorders>
              <w:top w:val="nil"/>
              <w:left w:val="nil"/>
              <w:bottom w:val="single" w:sz="4" w:space="0" w:color="auto"/>
              <w:right w:val="single" w:sz="4" w:space="0" w:color="auto"/>
            </w:tcBorders>
            <w:shd w:val="clear" w:color="auto" w:fill="auto"/>
            <w:noWrap/>
            <w:vAlign w:val="bottom"/>
            <w:hideMark/>
          </w:tcPr>
          <w:p w14:paraId="696DAF1A"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2FE3591B"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95.05%</w:t>
            </w:r>
          </w:p>
        </w:tc>
        <w:tc>
          <w:tcPr>
            <w:tcW w:w="1080" w:type="dxa"/>
            <w:tcBorders>
              <w:top w:val="nil"/>
              <w:left w:val="single" w:sz="4" w:space="0" w:color="7F7F7F"/>
              <w:bottom w:val="single" w:sz="4" w:space="0" w:color="7F7F7F"/>
              <w:right w:val="single" w:sz="8" w:space="0" w:color="auto"/>
            </w:tcBorders>
            <w:vAlign w:val="bottom"/>
          </w:tcPr>
          <w:p w14:paraId="3FDE206C"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720CEC65"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4832617A"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Multi-Manager Global Listed Infrastructure Fund Q2</w:t>
            </w:r>
          </w:p>
        </w:tc>
        <w:tc>
          <w:tcPr>
            <w:tcW w:w="2250" w:type="dxa"/>
            <w:tcBorders>
              <w:top w:val="nil"/>
              <w:left w:val="nil"/>
              <w:bottom w:val="single" w:sz="4" w:space="0" w:color="auto"/>
              <w:right w:val="single" w:sz="4" w:space="0" w:color="auto"/>
            </w:tcBorders>
            <w:shd w:val="clear" w:color="auto" w:fill="auto"/>
            <w:noWrap/>
            <w:vAlign w:val="bottom"/>
            <w:hideMark/>
          </w:tcPr>
          <w:p w14:paraId="4FD269E0"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56348712"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7.07%</w:t>
            </w:r>
          </w:p>
        </w:tc>
        <w:tc>
          <w:tcPr>
            <w:tcW w:w="1080" w:type="dxa"/>
            <w:tcBorders>
              <w:top w:val="nil"/>
              <w:left w:val="single" w:sz="4" w:space="0" w:color="7F7F7F"/>
              <w:bottom w:val="single" w:sz="4" w:space="0" w:color="7F7F7F"/>
              <w:right w:val="single" w:sz="8" w:space="0" w:color="auto"/>
            </w:tcBorders>
            <w:vAlign w:val="bottom"/>
          </w:tcPr>
          <w:p w14:paraId="382EAF6E"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3EA79C98"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74D5CBEF"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Multi-Manager Global Listed Infrastructure Fund Q3</w:t>
            </w:r>
          </w:p>
        </w:tc>
        <w:tc>
          <w:tcPr>
            <w:tcW w:w="2250" w:type="dxa"/>
            <w:tcBorders>
              <w:top w:val="nil"/>
              <w:left w:val="nil"/>
              <w:bottom w:val="single" w:sz="4" w:space="0" w:color="auto"/>
              <w:right w:val="single" w:sz="4" w:space="0" w:color="auto"/>
            </w:tcBorders>
            <w:shd w:val="clear" w:color="auto" w:fill="auto"/>
            <w:noWrap/>
            <w:vAlign w:val="bottom"/>
            <w:hideMark/>
          </w:tcPr>
          <w:p w14:paraId="48FD89BB"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199B927"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75.90%</w:t>
            </w:r>
          </w:p>
        </w:tc>
        <w:tc>
          <w:tcPr>
            <w:tcW w:w="1080" w:type="dxa"/>
            <w:tcBorders>
              <w:top w:val="nil"/>
              <w:left w:val="single" w:sz="4" w:space="0" w:color="7F7F7F"/>
              <w:bottom w:val="single" w:sz="4" w:space="0" w:color="7F7F7F"/>
              <w:right w:val="single" w:sz="8" w:space="0" w:color="auto"/>
            </w:tcBorders>
            <w:vAlign w:val="bottom"/>
          </w:tcPr>
          <w:p w14:paraId="4160EE6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7F0B86BB"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3F2F5A9F"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Multi-Manager Global Listed Infrastructure Fund Q4</w:t>
            </w:r>
          </w:p>
        </w:tc>
        <w:tc>
          <w:tcPr>
            <w:tcW w:w="2250" w:type="dxa"/>
            <w:tcBorders>
              <w:top w:val="nil"/>
              <w:left w:val="nil"/>
              <w:bottom w:val="single" w:sz="4" w:space="0" w:color="auto"/>
              <w:right w:val="single" w:sz="4" w:space="0" w:color="auto"/>
            </w:tcBorders>
            <w:shd w:val="clear" w:color="auto" w:fill="auto"/>
            <w:noWrap/>
            <w:vAlign w:val="bottom"/>
            <w:hideMark/>
          </w:tcPr>
          <w:p w14:paraId="16B452B7"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ED5FED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8.65%</w:t>
            </w:r>
          </w:p>
        </w:tc>
        <w:tc>
          <w:tcPr>
            <w:tcW w:w="1080" w:type="dxa"/>
            <w:tcBorders>
              <w:top w:val="nil"/>
              <w:left w:val="single" w:sz="4" w:space="0" w:color="7F7F7F"/>
              <w:bottom w:val="single" w:sz="4" w:space="0" w:color="7F7F7F"/>
              <w:right w:val="single" w:sz="8" w:space="0" w:color="auto"/>
            </w:tcBorders>
            <w:vAlign w:val="bottom"/>
          </w:tcPr>
          <w:p w14:paraId="129F2999"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99.82%</w:t>
            </w:r>
          </w:p>
        </w:tc>
      </w:tr>
      <w:tr w:rsidR="00CB4B54" w:rsidRPr="003A220B" w14:paraId="5BD72924"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783C9DF4" w14:textId="3E0E5EED"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Northern Engage360 Fund</w:t>
            </w:r>
            <w:r w:rsidR="00A35DB9" w:rsidRPr="00382141">
              <w:rPr>
                <w:rFonts w:ascii="Arial" w:eastAsia="Times New Roman" w:hAnsi="Arial" w:cs="Arial"/>
                <w:sz w:val="20"/>
                <w:szCs w:val="20"/>
                <w:vertAlign w:val="superscript"/>
              </w:rPr>
              <w:t>†</w:t>
            </w:r>
          </w:p>
        </w:tc>
        <w:tc>
          <w:tcPr>
            <w:tcW w:w="2250" w:type="dxa"/>
            <w:tcBorders>
              <w:top w:val="nil"/>
              <w:left w:val="nil"/>
              <w:bottom w:val="single" w:sz="4" w:space="0" w:color="auto"/>
              <w:right w:val="single" w:sz="4" w:space="0" w:color="auto"/>
            </w:tcBorders>
            <w:shd w:val="clear" w:color="auto" w:fill="auto"/>
            <w:noWrap/>
            <w:vAlign w:val="bottom"/>
            <w:hideMark/>
          </w:tcPr>
          <w:p w14:paraId="48849ABE" w14:textId="064956B9" w:rsidR="00CB4B54" w:rsidRDefault="00A323E3"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223143AA"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56.44%</w:t>
            </w:r>
          </w:p>
        </w:tc>
        <w:tc>
          <w:tcPr>
            <w:tcW w:w="1080" w:type="dxa"/>
            <w:tcBorders>
              <w:top w:val="nil"/>
              <w:left w:val="single" w:sz="4" w:space="0" w:color="7F7F7F"/>
              <w:bottom w:val="single" w:sz="4" w:space="0" w:color="7F7F7F"/>
              <w:right w:val="single" w:sz="8" w:space="0" w:color="auto"/>
            </w:tcBorders>
            <w:vAlign w:val="bottom"/>
          </w:tcPr>
          <w:p w14:paraId="56FDA606"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0.00%</w:t>
            </w:r>
          </w:p>
        </w:tc>
      </w:tr>
      <w:tr w:rsidR="00CB4B54" w:rsidRPr="003A220B" w14:paraId="7EC037C3"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685238AC"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Small Cap Core Fund</w:t>
            </w:r>
          </w:p>
        </w:tc>
        <w:tc>
          <w:tcPr>
            <w:tcW w:w="2250" w:type="dxa"/>
            <w:tcBorders>
              <w:top w:val="nil"/>
              <w:left w:val="nil"/>
              <w:bottom w:val="single" w:sz="4" w:space="0" w:color="auto"/>
              <w:right w:val="single" w:sz="4" w:space="0" w:color="auto"/>
            </w:tcBorders>
            <w:shd w:val="clear" w:color="auto" w:fill="auto"/>
            <w:noWrap/>
            <w:vAlign w:val="bottom"/>
            <w:hideMark/>
          </w:tcPr>
          <w:p w14:paraId="3554FC38"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85CD31A"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13.67%</w:t>
            </w:r>
          </w:p>
        </w:tc>
        <w:tc>
          <w:tcPr>
            <w:tcW w:w="1080" w:type="dxa"/>
            <w:tcBorders>
              <w:top w:val="nil"/>
              <w:left w:val="single" w:sz="4" w:space="0" w:color="7F7F7F"/>
              <w:bottom w:val="single" w:sz="4" w:space="0" w:color="7F7F7F"/>
              <w:right w:val="single" w:sz="8" w:space="0" w:color="auto"/>
            </w:tcBorders>
            <w:vAlign w:val="bottom"/>
          </w:tcPr>
          <w:p w14:paraId="3C1B4F5B"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0206F651"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2F282EA6"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Small Cap Index Fund</w:t>
            </w:r>
          </w:p>
        </w:tc>
        <w:tc>
          <w:tcPr>
            <w:tcW w:w="2250" w:type="dxa"/>
            <w:tcBorders>
              <w:top w:val="nil"/>
              <w:left w:val="nil"/>
              <w:bottom w:val="single" w:sz="4" w:space="0" w:color="auto"/>
              <w:right w:val="single" w:sz="4" w:space="0" w:color="auto"/>
            </w:tcBorders>
            <w:shd w:val="clear" w:color="auto" w:fill="auto"/>
            <w:noWrap/>
            <w:vAlign w:val="bottom"/>
            <w:hideMark/>
          </w:tcPr>
          <w:p w14:paraId="3392650E"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123BA042"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30.79%</w:t>
            </w:r>
          </w:p>
        </w:tc>
        <w:tc>
          <w:tcPr>
            <w:tcW w:w="1080" w:type="dxa"/>
            <w:tcBorders>
              <w:top w:val="nil"/>
              <w:left w:val="single" w:sz="4" w:space="0" w:color="7F7F7F"/>
              <w:bottom w:val="single" w:sz="4" w:space="0" w:color="7F7F7F"/>
              <w:right w:val="single" w:sz="8" w:space="0" w:color="auto"/>
            </w:tcBorders>
            <w:vAlign w:val="bottom"/>
          </w:tcPr>
          <w:p w14:paraId="147FB31C"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85.56%</w:t>
            </w:r>
          </w:p>
        </w:tc>
      </w:tr>
      <w:tr w:rsidR="00CB4B54" w:rsidRPr="003A220B" w14:paraId="0C5BA60D"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60243D4B"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Small Cap Value Fund</w:t>
            </w:r>
          </w:p>
        </w:tc>
        <w:tc>
          <w:tcPr>
            <w:tcW w:w="2250" w:type="dxa"/>
            <w:tcBorders>
              <w:top w:val="nil"/>
              <w:left w:val="nil"/>
              <w:bottom w:val="single" w:sz="4" w:space="0" w:color="auto"/>
              <w:right w:val="single" w:sz="4" w:space="0" w:color="auto"/>
            </w:tcBorders>
            <w:shd w:val="clear" w:color="auto" w:fill="auto"/>
            <w:noWrap/>
            <w:vAlign w:val="bottom"/>
            <w:hideMark/>
          </w:tcPr>
          <w:p w14:paraId="6950451B"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7780C01"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63.24%</w:t>
            </w:r>
          </w:p>
        </w:tc>
        <w:tc>
          <w:tcPr>
            <w:tcW w:w="1080" w:type="dxa"/>
            <w:tcBorders>
              <w:top w:val="nil"/>
              <w:left w:val="single" w:sz="4" w:space="0" w:color="7F7F7F"/>
              <w:bottom w:val="single" w:sz="4" w:space="0" w:color="7F7F7F"/>
              <w:right w:val="single" w:sz="8" w:space="0" w:color="auto"/>
            </w:tcBorders>
            <w:vAlign w:val="bottom"/>
          </w:tcPr>
          <w:p w14:paraId="63714B1E"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3558261C"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32FE06A2"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Stock Index Fund Q1</w:t>
            </w:r>
          </w:p>
        </w:tc>
        <w:tc>
          <w:tcPr>
            <w:tcW w:w="2250" w:type="dxa"/>
            <w:tcBorders>
              <w:top w:val="nil"/>
              <w:left w:val="nil"/>
              <w:bottom w:val="single" w:sz="4" w:space="0" w:color="auto"/>
              <w:right w:val="single" w:sz="4" w:space="0" w:color="auto"/>
            </w:tcBorders>
            <w:shd w:val="clear" w:color="auto" w:fill="auto"/>
            <w:noWrap/>
            <w:vAlign w:val="bottom"/>
            <w:hideMark/>
          </w:tcPr>
          <w:p w14:paraId="56513A62"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0539B106"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88.80%</w:t>
            </w:r>
          </w:p>
        </w:tc>
        <w:tc>
          <w:tcPr>
            <w:tcW w:w="1080" w:type="dxa"/>
            <w:tcBorders>
              <w:top w:val="nil"/>
              <w:left w:val="single" w:sz="4" w:space="0" w:color="7F7F7F"/>
              <w:bottom w:val="single" w:sz="4" w:space="0" w:color="7F7F7F"/>
              <w:right w:val="single" w:sz="8" w:space="0" w:color="auto"/>
            </w:tcBorders>
            <w:vAlign w:val="bottom"/>
          </w:tcPr>
          <w:p w14:paraId="1148EA7B"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51C45687"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11BAC735"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Stock Index Fund Q2</w:t>
            </w:r>
          </w:p>
        </w:tc>
        <w:tc>
          <w:tcPr>
            <w:tcW w:w="2250" w:type="dxa"/>
            <w:tcBorders>
              <w:top w:val="nil"/>
              <w:left w:val="nil"/>
              <w:bottom w:val="single" w:sz="4" w:space="0" w:color="auto"/>
              <w:right w:val="single" w:sz="4" w:space="0" w:color="auto"/>
            </w:tcBorders>
            <w:shd w:val="clear" w:color="auto" w:fill="auto"/>
            <w:noWrap/>
            <w:vAlign w:val="bottom"/>
            <w:hideMark/>
          </w:tcPr>
          <w:p w14:paraId="4578F739"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4CB11DAC"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94.14%</w:t>
            </w:r>
          </w:p>
        </w:tc>
        <w:tc>
          <w:tcPr>
            <w:tcW w:w="1080" w:type="dxa"/>
            <w:tcBorders>
              <w:top w:val="nil"/>
              <w:left w:val="single" w:sz="4" w:space="0" w:color="7F7F7F"/>
              <w:bottom w:val="single" w:sz="4" w:space="0" w:color="7F7F7F"/>
              <w:right w:val="single" w:sz="8" w:space="0" w:color="auto"/>
            </w:tcBorders>
            <w:vAlign w:val="bottom"/>
          </w:tcPr>
          <w:p w14:paraId="41CC32C4"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0738E899"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74386443"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Stock Index Fund Q3</w:t>
            </w:r>
          </w:p>
        </w:tc>
        <w:tc>
          <w:tcPr>
            <w:tcW w:w="2250" w:type="dxa"/>
            <w:tcBorders>
              <w:top w:val="nil"/>
              <w:left w:val="nil"/>
              <w:bottom w:val="single" w:sz="4" w:space="0" w:color="auto"/>
              <w:right w:val="single" w:sz="4" w:space="0" w:color="auto"/>
            </w:tcBorders>
            <w:shd w:val="clear" w:color="auto" w:fill="auto"/>
            <w:noWrap/>
            <w:vAlign w:val="bottom"/>
            <w:hideMark/>
          </w:tcPr>
          <w:p w14:paraId="326B5BC5"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5BAC711A"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94.81%</w:t>
            </w:r>
          </w:p>
        </w:tc>
        <w:tc>
          <w:tcPr>
            <w:tcW w:w="1080" w:type="dxa"/>
            <w:tcBorders>
              <w:top w:val="nil"/>
              <w:left w:val="single" w:sz="4" w:space="0" w:color="7F7F7F"/>
              <w:bottom w:val="single" w:sz="4" w:space="0" w:color="7F7F7F"/>
              <w:right w:val="single" w:sz="8" w:space="0" w:color="auto"/>
            </w:tcBorders>
            <w:vAlign w:val="bottom"/>
          </w:tcPr>
          <w:p w14:paraId="017BD8C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399DBC68" w14:textId="77777777" w:rsidTr="007633FA">
        <w:trPr>
          <w:trHeight w:val="300"/>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2D3FEAEF"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Stock Index Fund Q4</w:t>
            </w:r>
          </w:p>
        </w:tc>
        <w:tc>
          <w:tcPr>
            <w:tcW w:w="2250" w:type="dxa"/>
            <w:tcBorders>
              <w:top w:val="nil"/>
              <w:left w:val="nil"/>
              <w:bottom w:val="single" w:sz="4" w:space="0" w:color="auto"/>
              <w:right w:val="single" w:sz="4" w:space="0" w:color="auto"/>
            </w:tcBorders>
            <w:shd w:val="clear" w:color="auto" w:fill="auto"/>
            <w:noWrap/>
            <w:vAlign w:val="bottom"/>
            <w:hideMark/>
          </w:tcPr>
          <w:p w14:paraId="08249E65"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nil"/>
              <w:left w:val="single" w:sz="4" w:space="0" w:color="7F7F7F"/>
              <w:bottom w:val="single" w:sz="4" w:space="0" w:color="7F7F7F"/>
              <w:right w:val="single" w:sz="8" w:space="0" w:color="auto"/>
            </w:tcBorders>
            <w:shd w:val="clear" w:color="auto" w:fill="auto"/>
            <w:noWrap/>
            <w:vAlign w:val="bottom"/>
            <w:hideMark/>
          </w:tcPr>
          <w:p w14:paraId="7FDD3010"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55.47%</w:t>
            </w:r>
          </w:p>
        </w:tc>
        <w:tc>
          <w:tcPr>
            <w:tcW w:w="1080" w:type="dxa"/>
            <w:tcBorders>
              <w:top w:val="nil"/>
              <w:left w:val="single" w:sz="4" w:space="0" w:color="7F7F7F"/>
              <w:bottom w:val="single" w:sz="4" w:space="0" w:color="7F7F7F"/>
              <w:right w:val="single" w:sz="8" w:space="0" w:color="auto"/>
            </w:tcBorders>
            <w:vAlign w:val="bottom"/>
          </w:tcPr>
          <w:p w14:paraId="6389D42D"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r w:rsidR="00CB4B54" w:rsidRPr="003A220B" w14:paraId="55A3991A" w14:textId="77777777" w:rsidTr="007633FA">
        <w:trPr>
          <w:trHeight w:val="315"/>
        </w:trPr>
        <w:tc>
          <w:tcPr>
            <w:tcW w:w="4965" w:type="dxa"/>
            <w:tcBorders>
              <w:top w:val="nil"/>
              <w:left w:val="single" w:sz="8" w:space="0" w:color="auto"/>
              <w:bottom w:val="single" w:sz="4" w:space="0" w:color="auto"/>
              <w:right w:val="single" w:sz="4" w:space="0" w:color="auto"/>
            </w:tcBorders>
            <w:shd w:val="clear" w:color="auto" w:fill="auto"/>
            <w:noWrap/>
            <w:vAlign w:val="bottom"/>
            <w:hideMark/>
          </w:tcPr>
          <w:p w14:paraId="7351B77F"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Technology**</w:t>
            </w:r>
          </w:p>
        </w:tc>
        <w:tc>
          <w:tcPr>
            <w:tcW w:w="2250" w:type="dxa"/>
            <w:tcBorders>
              <w:top w:val="nil"/>
              <w:left w:val="nil"/>
              <w:bottom w:val="single" w:sz="4" w:space="0" w:color="auto"/>
              <w:right w:val="single" w:sz="4" w:space="0" w:color="auto"/>
            </w:tcBorders>
            <w:shd w:val="clear" w:color="auto" w:fill="auto"/>
            <w:noWrap/>
            <w:vAlign w:val="bottom"/>
            <w:hideMark/>
          </w:tcPr>
          <w:p w14:paraId="20F97B8C"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Annual</w:t>
            </w:r>
          </w:p>
        </w:tc>
        <w:tc>
          <w:tcPr>
            <w:tcW w:w="1080" w:type="dxa"/>
            <w:tcBorders>
              <w:top w:val="nil"/>
              <w:left w:val="single" w:sz="4" w:space="0" w:color="7F7F7F"/>
              <w:bottom w:val="single" w:sz="4" w:space="0" w:color="auto"/>
              <w:right w:val="single" w:sz="8" w:space="0" w:color="auto"/>
            </w:tcBorders>
            <w:shd w:val="clear" w:color="auto" w:fill="auto"/>
            <w:noWrap/>
            <w:vAlign w:val="bottom"/>
            <w:hideMark/>
          </w:tcPr>
          <w:p w14:paraId="1E057FCE"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0.00%</w:t>
            </w:r>
          </w:p>
        </w:tc>
        <w:tc>
          <w:tcPr>
            <w:tcW w:w="1080" w:type="dxa"/>
            <w:tcBorders>
              <w:top w:val="nil"/>
              <w:left w:val="single" w:sz="4" w:space="0" w:color="7F7F7F"/>
              <w:bottom w:val="single" w:sz="4" w:space="0" w:color="auto"/>
              <w:right w:val="single" w:sz="8" w:space="0" w:color="auto"/>
            </w:tcBorders>
            <w:vAlign w:val="bottom"/>
          </w:tcPr>
          <w:p w14:paraId="5404C26C"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0.00%</w:t>
            </w:r>
          </w:p>
        </w:tc>
      </w:tr>
      <w:tr w:rsidR="00CB4B54" w:rsidRPr="003A220B" w14:paraId="4B80474F" w14:textId="77777777" w:rsidTr="007633FA">
        <w:trPr>
          <w:trHeight w:val="315"/>
        </w:trPr>
        <w:tc>
          <w:tcPr>
            <w:tcW w:w="496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0355B8E" w14:textId="485C801D" w:rsidR="00CB4B54" w:rsidRDefault="00CB4B54" w:rsidP="007633FA">
            <w:pPr>
              <w:rPr>
                <w:rFonts w:ascii="Arial" w:eastAsia="Times New Roman" w:hAnsi="Arial" w:cs="Arial"/>
                <w:sz w:val="20"/>
                <w:szCs w:val="20"/>
              </w:rPr>
            </w:pPr>
            <w:r>
              <w:rPr>
                <w:rFonts w:ascii="Arial" w:eastAsia="Times New Roman" w:hAnsi="Arial" w:cs="Arial"/>
                <w:sz w:val="20"/>
                <w:szCs w:val="20"/>
              </w:rPr>
              <w:t xml:space="preserve"> U.S. Quality ESG </w:t>
            </w:r>
            <w:r w:rsidR="00A323E3">
              <w:rPr>
                <w:rFonts w:ascii="Arial" w:eastAsia="Times New Roman" w:hAnsi="Arial" w:cs="Arial"/>
                <w:sz w:val="20"/>
                <w:szCs w:val="20"/>
              </w:rPr>
              <w:t>Fund Q4</w:t>
            </w:r>
            <w:r w:rsidR="00A323E3" w:rsidRPr="00382141">
              <w:rPr>
                <w:rFonts w:ascii="Arial" w:eastAsia="Times New Roman" w:hAnsi="Arial" w:cs="Arial"/>
                <w:sz w:val="20"/>
                <w:szCs w:val="20"/>
                <w:vertAlign w:val="superscript"/>
              </w:rPr>
              <w:t>†</w:t>
            </w:r>
            <w:r w:rsidR="00A35DB9" w:rsidRPr="00382141">
              <w:rPr>
                <w:rFonts w:ascii="Arial" w:eastAsia="Times New Roman" w:hAnsi="Arial" w:cs="Arial"/>
                <w:sz w:val="20"/>
                <w:szCs w:val="20"/>
                <w:vertAlign w:val="superscript"/>
              </w:rPr>
              <w:t>†</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1A0619A6" w14:textId="77777777" w:rsidR="00CB4B54" w:rsidRDefault="00CB4B54" w:rsidP="007633FA">
            <w:pPr>
              <w:rPr>
                <w:rFonts w:ascii="Arial" w:eastAsia="Times New Roman" w:hAnsi="Arial" w:cs="Arial"/>
                <w:sz w:val="20"/>
                <w:szCs w:val="20"/>
              </w:rPr>
            </w:pPr>
            <w:r>
              <w:rPr>
                <w:rFonts w:ascii="Arial" w:eastAsia="Times New Roman" w:hAnsi="Arial" w:cs="Arial"/>
                <w:sz w:val="20"/>
                <w:szCs w:val="20"/>
              </w:rPr>
              <w:t>Quarterly</w:t>
            </w:r>
          </w:p>
        </w:tc>
        <w:tc>
          <w:tcPr>
            <w:tcW w:w="1080" w:type="dxa"/>
            <w:tcBorders>
              <w:top w:val="single" w:sz="4" w:space="0" w:color="auto"/>
              <w:left w:val="single" w:sz="4" w:space="0" w:color="7F7F7F"/>
              <w:bottom w:val="single" w:sz="4" w:space="0" w:color="auto"/>
              <w:right w:val="single" w:sz="8" w:space="0" w:color="auto"/>
            </w:tcBorders>
            <w:shd w:val="clear" w:color="auto" w:fill="auto"/>
            <w:noWrap/>
            <w:vAlign w:val="bottom"/>
          </w:tcPr>
          <w:p w14:paraId="7712BE95"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c>
          <w:tcPr>
            <w:tcW w:w="1080" w:type="dxa"/>
            <w:tcBorders>
              <w:top w:val="single" w:sz="4" w:space="0" w:color="auto"/>
              <w:left w:val="single" w:sz="4" w:space="0" w:color="7F7F7F"/>
              <w:bottom w:val="single" w:sz="4" w:space="0" w:color="auto"/>
              <w:right w:val="single" w:sz="8" w:space="0" w:color="auto"/>
            </w:tcBorders>
            <w:vAlign w:val="bottom"/>
          </w:tcPr>
          <w:p w14:paraId="25265B10" w14:textId="77777777" w:rsidR="00CB4B54" w:rsidRDefault="00CB4B54" w:rsidP="007633FA">
            <w:pPr>
              <w:jc w:val="right"/>
              <w:rPr>
                <w:rFonts w:ascii="Calibri" w:eastAsia="Times New Roman" w:hAnsi="Calibri" w:cs="Arial"/>
                <w:sz w:val="22"/>
                <w:szCs w:val="22"/>
              </w:rPr>
            </w:pPr>
            <w:r>
              <w:rPr>
                <w:rFonts w:ascii="Calibri" w:eastAsia="Times New Roman" w:hAnsi="Calibri" w:cs="Arial"/>
                <w:sz w:val="22"/>
                <w:szCs w:val="22"/>
              </w:rPr>
              <w:t>100.00%</w:t>
            </w:r>
          </w:p>
        </w:tc>
      </w:tr>
    </w:tbl>
    <w:p w14:paraId="133C7B04" w14:textId="77777777" w:rsidR="00CB4B54" w:rsidRPr="00EC5E34" w:rsidRDefault="00CB4B54" w:rsidP="00CB4B54">
      <w:pPr>
        <w:autoSpaceDE/>
        <w:autoSpaceDN/>
        <w:adjustRightInd/>
        <w:spacing w:line="240" w:lineRule="auto"/>
        <w:jc w:val="right"/>
        <w:rPr>
          <w:rFonts w:ascii="Times New Roman" w:eastAsia="Times New Roman" w:hAnsi="Times New Roman" w:cs="Times New Roman"/>
          <w:i/>
          <w:color w:val="auto"/>
          <w:sz w:val="20"/>
          <w:szCs w:val="20"/>
        </w:rPr>
      </w:pPr>
    </w:p>
    <w:tbl>
      <w:tblPr>
        <w:tblW w:w="19800" w:type="dxa"/>
        <w:tblInd w:w="108" w:type="dxa"/>
        <w:tblLook w:val="04A0" w:firstRow="1" w:lastRow="0" w:firstColumn="1" w:lastColumn="0" w:noHBand="0" w:noVBand="1"/>
      </w:tblPr>
      <w:tblGrid>
        <w:gridCol w:w="19800"/>
      </w:tblGrid>
      <w:tr w:rsidR="00A323E3" w:rsidRPr="00382141" w14:paraId="43827FA3" w14:textId="77777777" w:rsidTr="007633FA">
        <w:trPr>
          <w:trHeight w:val="260"/>
        </w:trPr>
        <w:tc>
          <w:tcPr>
            <w:tcW w:w="7780" w:type="dxa"/>
            <w:tcBorders>
              <w:top w:val="nil"/>
              <w:left w:val="nil"/>
              <w:bottom w:val="nil"/>
              <w:right w:val="nil"/>
            </w:tcBorders>
            <w:shd w:val="clear" w:color="auto" w:fill="auto"/>
            <w:noWrap/>
            <w:vAlign w:val="bottom"/>
            <w:hideMark/>
          </w:tcPr>
          <w:p w14:paraId="2D557BFE" w14:textId="6B8058E9" w:rsidR="00A323E3" w:rsidRPr="00382141" w:rsidRDefault="00A323E3" w:rsidP="006B395A">
            <w:pPr>
              <w:autoSpaceDE/>
              <w:autoSpaceDN/>
              <w:adjustRightInd/>
              <w:spacing w:line="200" w:lineRule="exact"/>
              <w:ind w:left="52"/>
              <w:rPr>
                <w:rFonts w:ascii="Arial" w:eastAsia="Times New Roman" w:hAnsi="Arial" w:cs="Arial"/>
                <w:color w:val="auto"/>
                <w:sz w:val="15"/>
                <w:szCs w:val="15"/>
              </w:rPr>
            </w:pPr>
            <w:r w:rsidRPr="00382141">
              <w:rPr>
                <w:rFonts w:ascii="Arial" w:eastAsia="Times New Roman" w:hAnsi="Arial" w:cs="Arial"/>
                <w:color w:val="auto"/>
                <w:sz w:val="15"/>
                <w:szCs w:val="15"/>
              </w:rPr>
              <w:t>*Fund Closed</w:t>
            </w:r>
            <w:r w:rsidR="00A35DB9">
              <w:rPr>
                <w:rFonts w:ascii="Arial" w:eastAsia="Times New Roman" w:hAnsi="Arial" w:cs="Arial"/>
                <w:color w:val="auto"/>
                <w:sz w:val="15"/>
                <w:szCs w:val="15"/>
              </w:rPr>
              <w:t>–</w:t>
            </w:r>
            <w:r w:rsidRPr="00382141">
              <w:rPr>
                <w:rFonts w:ascii="Arial" w:eastAsia="Times New Roman" w:hAnsi="Arial" w:cs="Arial"/>
                <w:color w:val="auto"/>
                <w:sz w:val="15"/>
                <w:szCs w:val="15"/>
              </w:rPr>
              <w:t>July 21, 2017</w:t>
            </w:r>
            <w:r w:rsidR="00A35DB9">
              <w:rPr>
                <w:rFonts w:ascii="Arial" w:eastAsia="Times New Roman" w:hAnsi="Arial" w:cs="Arial"/>
                <w:color w:val="auto"/>
                <w:sz w:val="15"/>
                <w:szCs w:val="15"/>
              </w:rPr>
              <w:t xml:space="preserve">                                      </w:t>
            </w:r>
            <w:r w:rsidR="006B395A">
              <w:rPr>
                <w:rFonts w:ascii="Arial" w:eastAsia="Times New Roman" w:hAnsi="Arial" w:cs="Arial"/>
                <w:color w:val="auto"/>
                <w:sz w:val="15"/>
                <w:szCs w:val="15"/>
              </w:rPr>
              <w:t xml:space="preserve">                            </w:t>
            </w:r>
            <w:r w:rsidR="00A35DB9">
              <w:rPr>
                <w:rFonts w:ascii="Arial" w:eastAsia="Times New Roman" w:hAnsi="Arial" w:cs="Arial"/>
                <w:color w:val="auto"/>
                <w:sz w:val="15"/>
                <w:szCs w:val="15"/>
              </w:rPr>
              <w:t xml:space="preserve">    </w:t>
            </w:r>
            <w:r w:rsidR="00A35DB9">
              <w:rPr>
                <w:rFonts w:ascii="Arial" w:eastAsia="Times New Roman" w:hAnsi="Arial" w:cs="Arial"/>
                <w:sz w:val="15"/>
                <w:szCs w:val="15"/>
                <w:vertAlign w:val="superscript"/>
              </w:rPr>
              <w:t xml:space="preserve">  </w:t>
            </w:r>
            <w:r w:rsidR="00A35DB9" w:rsidRPr="00382141">
              <w:rPr>
                <w:rFonts w:ascii="Arial" w:eastAsia="Times New Roman" w:hAnsi="Arial" w:cs="Arial"/>
                <w:sz w:val="15"/>
                <w:szCs w:val="15"/>
                <w:vertAlign w:val="superscript"/>
              </w:rPr>
              <w:t>†</w:t>
            </w:r>
            <w:r w:rsidR="00A35DB9" w:rsidRPr="00382141">
              <w:rPr>
                <w:rFonts w:ascii="Arial" w:eastAsia="Times New Roman" w:hAnsi="Arial" w:cs="Arial"/>
                <w:sz w:val="15"/>
                <w:szCs w:val="15"/>
              </w:rPr>
              <w:t>Fund Launched</w:t>
            </w:r>
            <w:r w:rsidR="00A35DB9">
              <w:rPr>
                <w:rFonts w:ascii="Arial" w:eastAsia="Times New Roman" w:hAnsi="Arial" w:cs="Arial"/>
                <w:sz w:val="15"/>
                <w:szCs w:val="15"/>
                <w:vertAlign w:val="superscript"/>
              </w:rPr>
              <w:softHyphen/>
            </w:r>
            <w:r w:rsidR="006B395A">
              <w:rPr>
                <w:rFonts w:ascii="Arial" w:eastAsia="Times New Roman" w:hAnsi="Arial" w:cs="Arial"/>
                <w:sz w:val="15"/>
                <w:szCs w:val="15"/>
              </w:rPr>
              <w:t>–</w:t>
            </w:r>
            <w:r w:rsidR="006B395A">
              <w:rPr>
                <w:rFonts w:ascii="Arial" w:eastAsia="Times New Roman" w:hAnsi="Arial" w:cs="Arial"/>
                <w:color w:val="auto"/>
                <w:sz w:val="15"/>
                <w:szCs w:val="15"/>
              </w:rPr>
              <w:t>Novem</w:t>
            </w:r>
            <w:r w:rsidR="00A35DB9" w:rsidRPr="00382141">
              <w:rPr>
                <w:rFonts w:ascii="Arial" w:eastAsia="Times New Roman" w:hAnsi="Arial" w:cs="Arial"/>
                <w:color w:val="auto"/>
                <w:sz w:val="15"/>
                <w:szCs w:val="15"/>
              </w:rPr>
              <w:t>ber 2</w:t>
            </w:r>
            <w:r w:rsidR="006B395A">
              <w:rPr>
                <w:rFonts w:ascii="Arial" w:eastAsia="Times New Roman" w:hAnsi="Arial" w:cs="Arial"/>
                <w:color w:val="auto"/>
                <w:sz w:val="15"/>
                <w:szCs w:val="15"/>
              </w:rPr>
              <w:t>0</w:t>
            </w:r>
            <w:r w:rsidR="00A35DB9" w:rsidRPr="00382141">
              <w:rPr>
                <w:rFonts w:ascii="Arial" w:eastAsia="Times New Roman" w:hAnsi="Arial" w:cs="Arial"/>
                <w:color w:val="auto"/>
                <w:sz w:val="15"/>
                <w:szCs w:val="15"/>
              </w:rPr>
              <w:t>, 2017</w:t>
            </w:r>
          </w:p>
        </w:tc>
      </w:tr>
      <w:tr w:rsidR="00A323E3" w:rsidRPr="00382141" w14:paraId="5CE55C3A" w14:textId="77777777" w:rsidTr="007633FA">
        <w:trPr>
          <w:trHeight w:val="85"/>
        </w:trPr>
        <w:tc>
          <w:tcPr>
            <w:tcW w:w="7780" w:type="dxa"/>
            <w:tcBorders>
              <w:top w:val="nil"/>
              <w:left w:val="nil"/>
              <w:bottom w:val="nil"/>
              <w:right w:val="nil"/>
            </w:tcBorders>
            <w:shd w:val="clear" w:color="auto" w:fill="auto"/>
            <w:noWrap/>
            <w:vAlign w:val="bottom"/>
            <w:hideMark/>
          </w:tcPr>
          <w:p w14:paraId="00676B2F" w14:textId="35DFD7FC" w:rsidR="00A323E3" w:rsidRPr="00382141" w:rsidRDefault="00A323E3" w:rsidP="00A323E3">
            <w:pPr>
              <w:autoSpaceDE/>
              <w:autoSpaceDN/>
              <w:adjustRightInd/>
              <w:spacing w:line="200" w:lineRule="exact"/>
              <w:rPr>
                <w:rFonts w:ascii="Arial" w:eastAsia="Times New Roman" w:hAnsi="Arial" w:cs="Arial"/>
                <w:color w:val="auto"/>
                <w:sz w:val="15"/>
                <w:szCs w:val="15"/>
              </w:rPr>
            </w:pPr>
            <w:r w:rsidRPr="00382141">
              <w:rPr>
                <w:rFonts w:ascii="Arial" w:eastAsia="Times New Roman" w:hAnsi="Arial" w:cs="Arial"/>
                <w:color w:val="auto"/>
                <w:sz w:val="15"/>
                <w:szCs w:val="15"/>
              </w:rPr>
              <w:t>**Fund Closed</w:t>
            </w:r>
            <w:r w:rsidR="00A35DB9">
              <w:rPr>
                <w:rFonts w:ascii="Arial" w:eastAsia="Times New Roman" w:hAnsi="Arial" w:cs="Arial"/>
                <w:color w:val="auto"/>
                <w:sz w:val="15"/>
                <w:szCs w:val="15"/>
              </w:rPr>
              <w:t>–</w:t>
            </w:r>
            <w:r w:rsidRPr="00382141">
              <w:rPr>
                <w:rFonts w:ascii="Arial" w:eastAsia="Times New Roman" w:hAnsi="Arial" w:cs="Arial"/>
                <w:color w:val="auto"/>
                <w:sz w:val="15"/>
                <w:szCs w:val="15"/>
              </w:rPr>
              <w:t>July 28, 2017</w:t>
            </w:r>
            <w:r w:rsidR="00A35DB9">
              <w:rPr>
                <w:rFonts w:ascii="Arial" w:eastAsia="Times New Roman" w:hAnsi="Arial" w:cs="Arial"/>
                <w:color w:val="auto"/>
                <w:sz w:val="15"/>
                <w:szCs w:val="15"/>
              </w:rPr>
              <w:t xml:space="preserve">                                </w:t>
            </w:r>
            <w:r w:rsidR="006B395A">
              <w:rPr>
                <w:rFonts w:ascii="Arial" w:eastAsia="Times New Roman" w:hAnsi="Arial" w:cs="Arial"/>
                <w:color w:val="auto"/>
                <w:sz w:val="15"/>
                <w:szCs w:val="15"/>
              </w:rPr>
              <w:t xml:space="preserve">                            </w:t>
            </w:r>
            <w:r w:rsidR="00A35DB9">
              <w:rPr>
                <w:rFonts w:ascii="Arial" w:eastAsia="Times New Roman" w:hAnsi="Arial" w:cs="Arial"/>
                <w:color w:val="auto"/>
                <w:sz w:val="15"/>
                <w:szCs w:val="15"/>
              </w:rPr>
              <w:t xml:space="preserve">          </w:t>
            </w:r>
            <w:r w:rsidR="00A35DB9" w:rsidRPr="00382141">
              <w:rPr>
                <w:rFonts w:ascii="Arial" w:eastAsia="Times New Roman" w:hAnsi="Arial" w:cs="Arial"/>
                <w:sz w:val="15"/>
                <w:szCs w:val="15"/>
                <w:vertAlign w:val="superscript"/>
              </w:rPr>
              <w:t>††</w:t>
            </w:r>
            <w:r w:rsidR="00A35DB9" w:rsidRPr="00382141">
              <w:rPr>
                <w:rFonts w:ascii="Arial" w:eastAsia="Times New Roman" w:hAnsi="Arial" w:cs="Arial"/>
                <w:sz w:val="15"/>
                <w:szCs w:val="15"/>
              </w:rPr>
              <w:t>Fund Launched</w:t>
            </w:r>
            <w:r w:rsidR="006B395A">
              <w:rPr>
                <w:rFonts w:ascii="Arial" w:eastAsia="Times New Roman" w:hAnsi="Arial" w:cs="Arial"/>
                <w:sz w:val="15"/>
                <w:szCs w:val="15"/>
              </w:rPr>
              <w:t>–</w:t>
            </w:r>
            <w:r w:rsidR="00A35DB9" w:rsidRPr="00382141">
              <w:rPr>
                <w:rFonts w:ascii="Arial" w:eastAsia="Times New Roman" w:hAnsi="Arial" w:cs="Arial"/>
                <w:color w:val="auto"/>
                <w:sz w:val="15"/>
                <w:szCs w:val="15"/>
              </w:rPr>
              <w:t>October 2, 2017</w:t>
            </w:r>
          </w:p>
          <w:p w14:paraId="1A878AD2" w14:textId="77777777" w:rsidR="00A323E3" w:rsidRPr="00382141" w:rsidRDefault="00A323E3" w:rsidP="007633FA">
            <w:pPr>
              <w:autoSpaceDE/>
              <w:autoSpaceDN/>
              <w:adjustRightInd/>
              <w:spacing w:line="200" w:lineRule="exact"/>
              <w:ind w:left="-18"/>
              <w:rPr>
                <w:rFonts w:ascii="Arial" w:eastAsia="Times New Roman" w:hAnsi="Arial" w:cs="Arial"/>
                <w:color w:val="auto"/>
                <w:sz w:val="15"/>
                <w:szCs w:val="15"/>
              </w:rPr>
            </w:pPr>
          </w:p>
        </w:tc>
      </w:tr>
    </w:tbl>
    <w:p w14:paraId="63ECB881" w14:textId="77777777" w:rsidR="00CB4B54" w:rsidRPr="00EA70F3" w:rsidRDefault="00CB4B54" w:rsidP="00CB4B54">
      <w:pPr>
        <w:autoSpaceDE/>
        <w:autoSpaceDN/>
        <w:adjustRightInd/>
        <w:spacing w:line="240" w:lineRule="auto"/>
        <w:rPr>
          <w:rFonts w:ascii="Times New Roman" w:eastAsia="Times New Roman" w:hAnsi="Times New Roman" w:cs="Times New Roman"/>
          <w:color w:val="auto"/>
          <w:sz w:val="22"/>
          <w:szCs w:val="22"/>
        </w:rPr>
      </w:pPr>
      <w:r w:rsidRPr="00EC5E34">
        <w:rPr>
          <w:rFonts w:ascii="Times New Roman" w:eastAsia="Times New Roman" w:hAnsi="Times New Roman" w:cs="Times New Roman"/>
          <w:color w:val="auto"/>
          <w:sz w:val="22"/>
          <w:szCs w:val="22"/>
        </w:rPr>
        <w:t>If you have any questions, contact your Relationship</w:t>
      </w:r>
      <w:r w:rsidRPr="00EA70F3">
        <w:rPr>
          <w:rFonts w:ascii="Times New Roman" w:eastAsia="Times New Roman" w:hAnsi="Times New Roman" w:cs="Times New Roman"/>
          <w:color w:val="auto"/>
          <w:sz w:val="22"/>
          <w:szCs w:val="22"/>
        </w:rPr>
        <w:t xml:space="preserve"> Manager, your tax advisor, or call the Northern Funds Center at </w:t>
      </w:r>
      <w:r w:rsidRPr="00EA70F3">
        <w:rPr>
          <w:rFonts w:ascii="Times New Roman" w:eastAsia="Times New Roman" w:hAnsi="Times New Roman" w:cs="Times New Roman"/>
          <w:b/>
          <w:color w:val="auto"/>
          <w:sz w:val="22"/>
          <w:szCs w:val="22"/>
        </w:rPr>
        <w:t>800-595-9111</w:t>
      </w:r>
      <w:r w:rsidRPr="00EA70F3">
        <w:rPr>
          <w:rFonts w:ascii="Times New Roman" w:eastAsia="Times New Roman" w:hAnsi="Times New Roman" w:cs="Times New Roman"/>
          <w:color w:val="auto"/>
          <w:sz w:val="22"/>
          <w:szCs w:val="22"/>
        </w:rPr>
        <w:t xml:space="preserve"> weekdays from 7:00 a.m. to </w:t>
      </w:r>
      <w:r>
        <w:rPr>
          <w:rFonts w:ascii="Times New Roman" w:eastAsia="Times New Roman" w:hAnsi="Times New Roman" w:cs="Times New Roman"/>
          <w:color w:val="auto"/>
          <w:sz w:val="22"/>
          <w:szCs w:val="22"/>
        </w:rPr>
        <w:t>5</w:t>
      </w:r>
      <w:r w:rsidRPr="00EA70F3">
        <w:rPr>
          <w:rFonts w:ascii="Times New Roman" w:eastAsia="Times New Roman" w:hAnsi="Times New Roman" w:cs="Times New Roman"/>
          <w:color w:val="auto"/>
          <w:sz w:val="22"/>
          <w:szCs w:val="22"/>
        </w:rPr>
        <w:t>:00 p.m. Central Time. For more information about dividend and capital gain distributions, please visit northernfunds.com/tax-center.</w:t>
      </w:r>
    </w:p>
    <w:p w14:paraId="0B6F06A2" w14:textId="77777777" w:rsidR="00CB4B54" w:rsidRPr="00EA70F3" w:rsidRDefault="00CB4B54" w:rsidP="00CB4B54">
      <w:pPr>
        <w:autoSpaceDE/>
        <w:autoSpaceDN/>
        <w:adjustRightInd/>
        <w:spacing w:line="240" w:lineRule="auto"/>
        <w:rPr>
          <w:rFonts w:ascii="Times New Roman" w:eastAsia="Times New Roman" w:hAnsi="Times New Roman" w:cs="Times New Roman"/>
          <w:color w:val="auto"/>
          <w:sz w:val="22"/>
          <w:szCs w:val="22"/>
        </w:rPr>
      </w:pPr>
    </w:p>
    <w:p w14:paraId="3D5E1931" w14:textId="77777777" w:rsidR="00CB4B54" w:rsidRDefault="00CB4B54" w:rsidP="00CB4B54">
      <w:pPr>
        <w:autoSpaceDE/>
        <w:autoSpaceDN/>
        <w:adjustRightInd/>
        <w:spacing w:line="240" w:lineRule="auto"/>
        <w:rPr>
          <w:rFonts w:ascii="Times New Roman" w:eastAsia="Times New Roman" w:hAnsi="Times New Roman" w:cs="Times New Roman"/>
          <w:color w:val="auto"/>
          <w:sz w:val="22"/>
          <w:szCs w:val="22"/>
        </w:rPr>
      </w:pPr>
    </w:p>
    <w:p w14:paraId="5DF94A4F" w14:textId="77777777" w:rsidR="00CB4B54" w:rsidRDefault="00CB4B54" w:rsidP="00CB4B54">
      <w:pPr>
        <w:autoSpaceDE/>
        <w:autoSpaceDN/>
        <w:adjustRightInd/>
        <w:spacing w:line="240" w:lineRule="auto"/>
        <w:rPr>
          <w:rFonts w:ascii="Times New Roman" w:eastAsia="Times New Roman" w:hAnsi="Times New Roman" w:cs="Times New Roman"/>
          <w:color w:val="auto"/>
          <w:sz w:val="22"/>
          <w:szCs w:val="22"/>
        </w:rPr>
      </w:pPr>
    </w:p>
    <w:p w14:paraId="3FA4ACEA" w14:textId="77777777" w:rsidR="00CB4B54" w:rsidRDefault="00CB4B54" w:rsidP="00CB4B54">
      <w:pPr>
        <w:autoSpaceDE/>
        <w:autoSpaceDN/>
        <w:adjustRightInd/>
        <w:spacing w:line="240" w:lineRule="auto"/>
        <w:rPr>
          <w:rFonts w:ascii="Times New Roman" w:eastAsia="Times New Roman" w:hAnsi="Times New Roman" w:cs="Times New Roman"/>
          <w:color w:val="auto"/>
          <w:sz w:val="22"/>
          <w:szCs w:val="22"/>
        </w:rPr>
      </w:pPr>
    </w:p>
    <w:p w14:paraId="2B8A5C49" w14:textId="77777777" w:rsidR="00CB4B54" w:rsidRDefault="00CB4B54" w:rsidP="00CB4B54">
      <w:pPr>
        <w:autoSpaceDE/>
        <w:autoSpaceDN/>
        <w:adjustRightInd/>
        <w:spacing w:line="240" w:lineRule="auto"/>
        <w:rPr>
          <w:rFonts w:ascii="Times New Roman" w:eastAsia="Times New Roman" w:hAnsi="Times New Roman" w:cs="Times New Roman"/>
          <w:color w:val="auto"/>
          <w:sz w:val="22"/>
          <w:szCs w:val="22"/>
        </w:rPr>
      </w:pPr>
    </w:p>
    <w:p w14:paraId="760316BC" w14:textId="77777777" w:rsidR="00CB4B54" w:rsidRDefault="00CB4B54" w:rsidP="00CB4B54">
      <w:pPr>
        <w:autoSpaceDE/>
        <w:autoSpaceDN/>
        <w:adjustRightInd/>
        <w:spacing w:line="240" w:lineRule="auto"/>
        <w:rPr>
          <w:rFonts w:ascii="Times New Roman" w:eastAsia="Times New Roman" w:hAnsi="Times New Roman" w:cs="Times New Roman"/>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20"/>
      </w:tblGrid>
      <w:tr w:rsidR="00CB4B54" w:rsidRPr="00EA70F3" w14:paraId="54BCF5E7" w14:textId="77777777" w:rsidTr="007633FA">
        <w:trPr>
          <w:jc w:val="center"/>
        </w:trPr>
        <w:tc>
          <w:tcPr>
            <w:tcW w:w="3240" w:type="dxa"/>
          </w:tcPr>
          <w:p w14:paraId="6F8C2FAB" w14:textId="77777777" w:rsidR="00CB4B54" w:rsidRPr="00EA70F3" w:rsidRDefault="00CB4B54" w:rsidP="007633FA">
            <w:pPr>
              <w:autoSpaceDE/>
              <w:autoSpaceDN/>
              <w:adjustRightInd/>
              <w:spacing w:line="240" w:lineRule="auto"/>
              <w:jc w:val="center"/>
              <w:rPr>
                <w:rFonts w:ascii="Times New Roman" w:eastAsia="Times New Roman" w:hAnsi="Times New Roman" w:cs="Times New Roman"/>
                <w:color w:val="auto"/>
                <w:sz w:val="22"/>
                <w:szCs w:val="22"/>
              </w:rPr>
            </w:pPr>
            <w:r w:rsidRPr="00EA70F3">
              <w:rPr>
                <w:rFonts w:ascii="Times New Roman" w:eastAsia="Times New Roman" w:hAnsi="Times New Roman" w:cs="Times New Roman"/>
                <w:color w:val="auto"/>
                <w:sz w:val="22"/>
                <w:szCs w:val="22"/>
              </w:rPr>
              <w:t>NOT FDIC INSURED</w:t>
            </w:r>
          </w:p>
        </w:tc>
        <w:tc>
          <w:tcPr>
            <w:tcW w:w="3720" w:type="dxa"/>
          </w:tcPr>
          <w:p w14:paraId="700D993F" w14:textId="77777777" w:rsidR="00CB4B54" w:rsidRPr="00EA70F3" w:rsidRDefault="00CB4B54" w:rsidP="007633FA">
            <w:pPr>
              <w:autoSpaceDE/>
              <w:autoSpaceDN/>
              <w:adjustRightInd/>
              <w:spacing w:line="240" w:lineRule="auto"/>
              <w:jc w:val="center"/>
              <w:rPr>
                <w:rFonts w:ascii="Times New Roman" w:eastAsia="Times New Roman" w:hAnsi="Times New Roman" w:cs="Times New Roman"/>
                <w:color w:val="auto"/>
                <w:sz w:val="22"/>
                <w:szCs w:val="22"/>
              </w:rPr>
            </w:pPr>
            <w:r w:rsidRPr="00EA70F3">
              <w:rPr>
                <w:rFonts w:ascii="Times New Roman" w:eastAsia="Times New Roman" w:hAnsi="Times New Roman" w:cs="Times New Roman"/>
                <w:color w:val="auto"/>
                <w:sz w:val="22"/>
                <w:szCs w:val="22"/>
              </w:rPr>
              <w:t>May lose value / No bank guarantee</w:t>
            </w:r>
          </w:p>
        </w:tc>
      </w:tr>
    </w:tbl>
    <w:p w14:paraId="70328E09" w14:textId="77777777" w:rsidR="00CB4B54" w:rsidRPr="00633EBD" w:rsidRDefault="00CB4B54" w:rsidP="00CB4B54"/>
    <w:p w14:paraId="5E7FD76B" w14:textId="77777777" w:rsidR="00CB4B54" w:rsidRPr="00633EBD" w:rsidRDefault="00CB4B54" w:rsidP="00CB4B54"/>
    <w:p w14:paraId="6978104A" w14:textId="77777777" w:rsidR="00FE50F7" w:rsidRDefault="0006380A"/>
    <w:sectPr w:rsidR="00FE50F7" w:rsidSect="00F066B3">
      <w:headerReference w:type="first" r:id="rId6"/>
      <w:footerReference w:type="first" r:id="rId7"/>
      <w:pgSz w:w="12240" w:h="15840"/>
      <w:pgMar w:top="1224" w:right="1440" w:bottom="423" w:left="1440" w:header="533"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18E65" w14:textId="77777777" w:rsidR="0006380A" w:rsidRDefault="0006380A" w:rsidP="00253E32">
      <w:pPr>
        <w:spacing w:line="240" w:lineRule="auto"/>
      </w:pPr>
      <w:r>
        <w:separator/>
      </w:r>
    </w:p>
  </w:endnote>
  <w:endnote w:type="continuationSeparator" w:id="0">
    <w:p w14:paraId="5FE26EBD" w14:textId="77777777" w:rsidR="0006380A" w:rsidRDefault="0006380A" w:rsidP="00253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Minion-Regular">
    <w:altName w:val="Calibri"/>
    <w:panose1 w:val="00000000000000000000"/>
    <w:charset w:val="00"/>
    <w:family w:val="roman"/>
    <w:notTrueType/>
    <w:pitch w:val="default"/>
    <w:sig w:usb0="00000003" w:usb1="00000000" w:usb2="00000000" w:usb3="00000000" w:csb0="00000001" w:csb1="00000000"/>
  </w:font>
  <w:font w:name="Equip">
    <w:panose1 w:val="02000503030000020004"/>
    <w:charset w:val="00"/>
    <w:family w:val="auto"/>
    <w:pitch w:val="variable"/>
    <w:sig w:usb0="A00000AF" w:usb1="4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26D0" w14:textId="2FEA2AA8" w:rsidR="0097132C" w:rsidRDefault="0006380A" w:rsidP="00B25007">
    <w:pPr>
      <w:pStyle w:val="Footer"/>
      <w:spacing w:before="240" w:line="240" w:lineRule="auto"/>
    </w:pPr>
  </w:p>
  <w:p w14:paraId="59DBCBC2" w14:textId="457334B7" w:rsidR="00992CDC" w:rsidRDefault="0006380A" w:rsidP="00992C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B904" w14:textId="77777777" w:rsidR="0006380A" w:rsidRDefault="0006380A" w:rsidP="00253E32">
      <w:pPr>
        <w:spacing w:line="240" w:lineRule="auto"/>
      </w:pPr>
      <w:r>
        <w:separator/>
      </w:r>
    </w:p>
  </w:footnote>
  <w:footnote w:type="continuationSeparator" w:id="0">
    <w:p w14:paraId="2A90C919" w14:textId="77777777" w:rsidR="0006380A" w:rsidRDefault="0006380A" w:rsidP="00253E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BE74" w14:textId="123ED588" w:rsidR="00992CDC" w:rsidRDefault="00B75A56" w:rsidP="00992CD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4"/>
    <w:rsid w:val="0006380A"/>
    <w:rsid w:val="00121E40"/>
    <w:rsid w:val="00253E32"/>
    <w:rsid w:val="003F39E8"/>
    <w:rsid w:val="00421609"/>
    <w:rsid w:val="006B395A"/>
    <w:rsid w:val="006D55E3"/>
    <w:rsid w:val="007E2DC3"/>
    <w:rsid w:val="0088782E"/>
    <w:rsid w:val="00A323E3"/>
    <w:rsid w:val="00A35DB9"/>
    <w:rsid w:val="00B75A56"/>
    <w:rsid w:val="00B843E7"/>
    <w:rsid w:val="00CB4B54"/>
    <w:rsid w:val="00D06330"/>
    <w:rsid w:val="00F0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16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thern"/>
    <w:qFormat/>
    <w:rsid w:val="00CB4B54"/>
    <w:pPr>
      <w:autoSpaceDE w:val="0"/>
      <w:autoSpaceDN w:val="0"/>
      <w:adjustRightInd w:val="0"/>
      <w:spacing w:line="300" w:lineRule="exact"/>
    </w:pPr>
    <w:rPr>
      <w:rFonts w:ascii="Times" w:eastAsia="Calibri" w:hAnsi="Times" w:cs="Minion-Regula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54"/>
    <w:pPr>
      <w:tabs>
        <w:tab w:val="center" w:pos="4680"/>
        <w:tab w:val="right" w:pos="9360"/>
      </w:tabs>
    </w:pPr>
  </w:style>
  <w:style w:type="character" w:customStyle="1" w:styleId="HeaderChar">
    <w:name w:val="Header Char"/>
    <w:basedOn w:val="DefaultParagraphFont"/>
    <w:link w:val="Header"/>
    <w:uiPriority w:val="99"/>
    <w:rsid w:val="00CB4B54"/>
    <w:rPr>
      <w:rFonts w:ascii="Times" w:eastAsia="Calibri" w:hAnsi="Times" w:cs="Minion-Regular"/>
      <w:color w:val="000000"/>
    </w:rPr>
  </w:style>
  <w:style w:type="paragraph" w:styleId="Footer">
    <w:name w:val="footer"/>
    <w:basedOn w:val="Normal"/>
    <w:link w:val="FooterChar"/>
    <w:uiPriority w:val="99"/>
    <w:unhideWhenUsed/>
    <w:rsid w:val="00CB4B54"/>
    <w:pPr>
      <w:tabs>
        <w:tab w:val="center" w:pos="4680"/>
        <w:tab w:val="right" w:pos="9360"/>
      </w:tabs>
    </w:pPr>
  </w:style>
  <w:style w:type="character" w:customStyle="1" w:styleId="FooterChar">
    <w:name w:val="Footer Char"/>
    <w:basedOn w:val="DefaultParagraphFont"/>
    <w:link w:val="Footer"/>
    <w:uiPriority w:val="99"/>
    <w:rsid w:val="00CB4B54"/>
    <w:rPr>
      <w:rFonts w:ascii="Times" w:eastAsia="Calibri" w:hAnsi="Times" w:cs="Minion-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Please see back page for additional DRD percentages</vt:lpstr>
      <vt:lpstr/>
    </vt:vector>
  </TitlesOfParts>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2018-02-01T19:23:00Z</dcterms:created>
  <dcterms:modified xsi:type="dcterms:W3CDTF">2018-02-01T19:23:00Z</dcterms:modified>
</cp:coreProperties>
</file>